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851" w:right="-284"/>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MINISTRY OF EDUCATION AND SCIENCE OF THE REPUBLIC OF KAZAKHSTAN</w:t>
      </w: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M.AUEZOV SOUTH KAZAKHSTAN STATE UNIVERSITY </w:t>
      </w: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Department of Economy </w:t>
      </w: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jc w:val="center"/>
        <w:rPr>
          <w:rFonts w:ascii="Times New Roman" w:hAnsi="Times New Roman" w:cs="Times New Roman"/>
          <w:color w:val="191919" w:themeColor="background1" w:themeShade="1A"/>
          <w:sz w:val="28"/>
          <w:szCs w:val="28"/>
          <w:lang w:val="en-US" w:eastAsia="ko-KR"/>
        </w:rPr>
      </w:pPr>
      <w:r>
        <w:rPr>
          <w:rFonts w:ascii="Times New Roman" w:hAnsi="Times New Roman" w:cs="Times New Roman"/>
          <w:color w:val="191919" w:themeColor="background1" w:themeShade="1A"/>
          <w:sz w:val="28"/>
          <w:szCs w:val="28"/>
          <w:lang w:val="en-US" w:eastAsia="ko-KR"/>
        </w:rPr>
        <w:t>YESBOLOVA A.Y., TULEMETOVA A.S.</w:t>
      </w: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both"/>
        <w:rPr>
          <w:rFonts w:ascii="Times New Roman" w:hAnsi="Times New Roman" w:cs="Times New Roman"/>
          <w:color w:val="191919" w:themeColor="background1" w:themeShade="1A"/>
          <w:sz w:val="28"/>
          <w:szCs w:val="28"/>
          <w:lang w:val="en-US" w:eastAsia="ko-KR"/>
        </w:rPr>
      </w:pPr>
    </w:p>
    <w:p>
      <w:pPr>
        <w:spacing w:after="0" w:line="240" w:lineRule="auto"/>
        <w:jc w:val="both"/>
        <w:rPr>
          <w:rFonts w:ascii="Times New Roman" w:hAnsi="Times New Roman" w:cs="Times New Roman"/>
          <w:b/>
          <w:color w:val="191919" w:themeColor="background1" w:themeShade="1A"/>
          <w:sz w:val="28"/>
          <w:szCs w:val="28"/>
          <w:lang w:val="en-US" w:eastAsia="ko-KR"/>
        </w:rPr>
      </w:pPr>
    </w:p>
    <w:p>
      <w:pPr>
        <w:spacing w:after="0" w:line="240" w:lineRule="auto"/>
        <w:jc w:val="both"/>
        <w:rPr>
          <w:rFonts w:ascii="Times New Roman" w:hAnsi="Times New Roman" w:cs="Times New Roman"/>
          <w:b/>
          <w:color w:val="191919" w:themeColor="background1" w:themeShade="1A"/>
          <w:sz w:val="28"/>
          <w:szCs w:val="28"/>
          <w:lang w:val="en-US" w:eastAsia="ko-KR"/>
        </w:rPr>
      </w:pPr>
    </w:p>
    <w:p>
      <w:pPr>
        <w:spacing w:after="0" w:line="240" w:lineRule="auto"/>
        <w:jc w:val="both"/>
        <w:rPr>
          <w:rFonts w:ascii="Times New Roman" w:hAnsi="Times New Roman" w:cs="Times New Roman"/>
          <w:b/>
          <w:color w:val="191919" w:themeColor="background1" w:themeShade="1A"/>
          <w:sz w:val="28"/>
          <w:szCs w:val="28"/>
          <w:lang w:val="en-US" w:eastAsia="ko-KR"/>
        </w:rPr>
      </w:pPr>
    </w:p>
    <w:p>
      <w:pPr>
        <w:shd w:val="clear" w:color="auto" w:fill="FFFFFF"/>
        <w:spacing w:after="0" w:line="240" w:lineRule="auto"/>
        <w:ind w:firstLine="709"/>
        <w:jc w:val="center"/>
        <w:rPr>
          <w:rFonts w:ascii="Times New Roman" w:hAnsi="Times New Roman" w:eastAsia="SimSu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eastAsia="ko-KR"/>
        </w:rPr>
        <w:t>Thesis of lectures</w:t>
      </w:r>
    </w:p>
    <w:p>
      <w:pPr>
        <w:shd w:val="clear" w:color="auto" w:fill="FFFFFF"/>
        <w:spacing w:after="0" w:line="240" w:lineRule="auto"/>
        <w:ind w:firstLine="709"/>
        <w:jc w:val="center"/>
        <w:rPr>
          <w:rFonts w:ascii="Times New Roman" w:hAnsi="Times New Roman" w:eastAsia="SimSun" w:cs="Times New Roman"/>
          <w:color w:val="191919" w:themeColor="background1" w:themeShade="1A"/>
          <w:sz w:val="28"/>
          <w:szCs w:val="28"/>
          <w:lang w:val="en-US"/>
        </w:rPr>
      </w:pPr>
      <w:r>
        <w:rPr>
          <w:rFonts w:ascii="Times New Roman" w:hAnsi="Times New Roman" w:eastAsia="SimSun" w:cs="Times New Roman"/>
          <w:color w:val="191919" w:themeColor="background1" w:themeShade="1A"/>
          <w:sz w:val="28"/>
          <w:szCs w:val="28"/>
          <w:lang w:val="en-US"/>
        </w:rPr>
        <w:t>on discipline «</w:t>
      </w:r>
      <w:r>
        <w:rPr>
          <w:rFonts w:ascii="Times New Roman" w:hAnsi="Times New Roman" w:cs="Times New Roman"/>
          <w:color w:val="191919" w:themeColor="background1" w:themeShade="1A"/>
          <w:sz w:val="28"/>
          <w:szCs w:val="28"/>
          <w:lang w:val="en-US"/>
        </w:rPr>
        <w:t>Global economy and economic policy of the firm</w:t>
      </w:r>
      <w:r>
        <w:rPr>
          <w:rFonts w:ascii="Times New Roman" w:hAnsi="Times New Roman" w:eastAsia="SimSun" w:cs="Times New Roman"/>
          <w:color w:val="191919" w:themeColor="background1" w:themeShade="1A"/>
          <w:sz w:val="28"/>
          <w:szCs w:val="28"/>
          <w:lang w:val="en-US"/>
        </w:rPr>
        <w:t xml:space="preserve">» </w:t>
      </w:r>
    </w:p>
    <w:p>
      <w:pPr>
        <w:shd w:val="clear" w:color="auto" w:fill="FFFFFF"/>
        <w:spacing w:after="0" w:line="240" w:lineRule="auto"/>
        <w:ind w:firstLine="709"/>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for speciality 6D050600 - Economy</w:t>
      </w: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b/>
          <w:color w:val="191919" w:themeColor="background1" w:themeShade="1A"/>
          <w:sz w:val="28"/>
          <w:szCs w:val="28"/>
          <w:lang w:val="en-US"/>
        </w:rPr>
      </w:pPr>
      <w:r>
        <w:rPr>
          <w:rFonts w:ascii="Times New Roman" w:hAnsi="Times New Roman" w:eastAsia="Calibri" w:cs="Times New Roman"/>
          <w:b/>
          <w:color w:val="191919" w:themeColor="background1" w:themeShade="1A"/>
          <w:sz w:val="28"/>
          <w:szCs w:val="28"/>
          <w:lang w:val="en-US"/>
        </w:rPr>
        <w:t xml:space="preserve"> </w:t>
      </w: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SimSun" w:cs="Times New Roman"/>
          <w:color w:val="191919" w:themeColor="background1" w:themeShade="1A"/>
          <w:sz w:val="28"/>
          <w:szCs w:val="28"/>
          <w:lang w:val="en-US"/>
        </w:rPr>
        <w:t xml:space="preserve"> </w:t>
      </w: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b/>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b/>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b/>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b/>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b/>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lang w:val="en-US"/>
        </w:rPr>
      </w:pPr>
    </w:p>
    <w:p>
      <w:pPr>
        <w:spacing w:after="0" w:line="240" w:lineRule="auto"/>
        <w:ind w:firstLine="709"/>
        <w:jc w:val="center"/>
        <w:rPr>
          <w:rFonts w:ascii="Times New Roman" w:hAnsi="Times New Roman" w:eastAsia="Calibri" w:cs="Times New Roman"/>
          <w:color w:val="191919" w:themeColor="background1" w:themeShade="1A"/>
          <w:sz w:val="28"/>
          <w:szCs w:val="28"/>
        </w:rPr>
      </w:pPr>
      <w:r>
        <w:rPr>
          <w:rFonts w:ascii="Times New Roman" w:hAnsi="Times New Roman" w:eastAsia="Calibri" w:cs="Times New Roman"/>
          <w:color w:val="191919" w:themeColor="background1" w:themeShade="1A"/>
          <w:sz w:val="28"/>
          <w:szCs w:val="28"/>
          <w:lang w:val="en-US"/>
        </w:rPr>
        <w:t>Shymkent, 20</w:t>
      </w:r>
      <w:r>
        <w:rPr>
          <w:rFonts w:ascii="Times New Roman" w:hAnsi="Times New Roman" w:eastAsia="Calibri" w:cs="Times New Roman"/>
          <w:color w:val="191919" w:themeColor="background1" w:themeShade="1A"/>
          <w:sz w:val="28"/>
          <w:szCs w:val="28"/>
        </w:rPr>
        <w:t>20</w:t>
      </w:r>
    </w:p>
    <w:p>
      <w:pPr>
        <w:spacing w:after="0" w:line="240" w:lineRule="auto"/>
        <w:ind w:firstLine="709"/>
        <w:jc w:val="both"/>
        <w:rPr>
          <w:rFonts w:ascii="Times New Roman" w:hAnsi="Times New Roman" w:cs="Times New Roman"/>
          <w:color w:val="191919" w:themeColor="background1" w:themeShade="1A"/>
          <w:sz w:val="28"/>
          <w:szCs w:val="28"/>
          <w:lang w:val="en-US" w:eastAsia="ko-KR"/>
        </w:rPr>
      </w:pPr>
    </w:p>
    <w:p>
      <w:pPr>
        <w:spacing w:after="0" w:line="240" w:lineRule="auto"/>
        <w:ind w:firstLine="709"/>
        <w:jc w:val="both"/>
        <w:rPr>
          <w:rFonts w:ascii="Times New Roman" w:hAnsi="Times New Roman" w:cs="Times New Roman"/>
          <w:color w:val="191919" w:themeColor="background1" w:themeShade="1A"/>
          <w:sz w:val="28"/>
          <w:szCs w:val="28"/>
          <w:lang w:val="en-US" w:eastAsia="ko-KR"/>
        </w:rPr>
      </w:pPr>
    </w:p>
    <w:p>
      <w:pPr>
        <w:spacing w:after="0" w:line="240" w:lineRule="auto"/>
        <w:jc w:val="both"/>
        <w:rPr>
          <w:rFonts w:ascii="Times New Roman" w:hAnsi="Times New Roman" w:eastAsia="Calibri" w:cs="Times New Roman"/>
          <w:color w:val="191919" w:themeColor="background1" w:themeShade="1A"/>
          <w:sz w:val="28"/>
          <w:szCs w:val="28"/>
          <w:lang w:val="en-US" w:eastAsia="ko-KR"/>
        </w:rPr>
      </w:pPr>
    </w:p>
    <w:p>
      <w:pPr>
        <w:spacing w:after="0" w:line="240" w:lineRule="auto"/>
        <w:jc w:val="both"/>
        <w:rPr>
          <w:rFonts w:ascii="Times New Roman" w:hAnsi="Times New Roman" w:eastAsia="Calibri" w:cs="Times New Roman"/>
          <w:color w:val="191919" w:themeColor="background1" w:themeShade="1A"/>
          <w:sz w:val="28"/>
          <w:szCs w:val="28"/>
          <w:lang w:val="en-US" w:eastAsia="ko-KR"/>
        </w:rPr>
      </w:pPr>
      <w:r>
        <w:rPr>
          <w:rFonts w:ascii="Times New Roman" w:hAnsi="Times New Roman" w:eastAsia="Calibri" w:cs="Times New Roman"/>
          <w:color w:val="191919" w:themeColor="background1" w:themeShade="1A"/>
          <w:sz w:val="28"/>
          <w:szCs w:val="28"/>
          <w:lang w:val="en-US" w:eastAsia="ko-KR"/>
        </w:rPr>
        <w:t xml:space="preserve">UD C </w:t>
      </w:r>
      <w:r>
        <w:rPr>
          <w:rFonts w:ascii="Times New Roman" w:hAnsi="Times New Roman" w:eastAsia="Calibri" w:cs="Times New Roman"/>
          <w:color w:val="191919" w:themeColor="background1" w:themeShade="1A"/>
          <w:sz w:val="28"/>
          <w:szCs w:val="28"/>
          <w:lang w:val="en-US"/>
        </w:rPr>
        <w:t>65.330</w:t>
      </w:r>
      <w:r>
        <w:rPr>
          <w:rFonts w:ascii="Times New Roman" w:hAnsi="Times New Roman" w:cs="Times New Roman"/>
          <w:color w:val="191919" w:themeColor="background1" w:themeShade="1A"/>
          <w:sz w:val="28"/>
          <w:szCs w:val="28"/>
          <w:lang w:val="en-US"/>
        </w:rPr>
        <w:t xml:space="preserve"> (220)</w:t>
      </w:r>
    </w:p>
    <w:p>
      <w:pPr>
        <w:spacing w:after="0" w:line="240" w:lineRule="auto"/>
        <w:ind w:firstLine="709"/>
        <w:jc w:val="both"/>
        <w:rPr>
          <w:rFonts w:ascii="Times New Roman" w:hAnsi="Times New Roman" w:eastAsia="Calibri" w:cs="Times New Roman"/>
          <w:color w:val="191919" w:themeColor="background1" w:themeShade="1A"/>
          <w:sz w:val="28"/>
          <w:szCs w:val="28"/>
          <w:lang w:val="en-US" w:eastAsia="ko-KR"/>
        </w:rPr>
      </w:pPr>
      <w:r>
        <w:rPr>
          <w:rFonts w:ascii="Times New Roman" w:hAnsi="Times New Roman" w:eastAsia="Calibri" w:cs="Times New Roman"/>
          <w:color w:val="191919" w:themeColor="background1" w:themeShade="1A"/>
          <w:sz w:val="28"/>
          <w:szCs w:val="28"/>
          <w:lang w:val="en-US" w:eastAsia="ko-KR"/>
        </w:rPr>
        <w:t xml:space="preserve">         </w:t>
      </w:r>
    </w:p>
    <w:p>
      <w:pPr>
        <w:shd w:val="clear" w:color="auto" w:fill="FFFFFF"/>
        <w:spacing w:after="0" w:line="240" w:lineRule="auto"/>
        <w:jc w:val="both"/>
        <w:rPr>
          <w:rFonts w:ascii="Times New Roman" w:hAnsi="Times New Roman" w:eastAsia="Calibri" w:cs="Times New Roman"/>
          <w:color w:val="191919" w:themeColor="background1" w:themeShade="1A"/>
          <w:sz w:val="28"/>
          <w:szCs w:val="28"/>
          <w:lang w:val="en-US" w:eastAsia="ko-KR"/>
        </w:rPr>
      </w:pPr>
      <w:r>
        <w:rPr>
          <w:rFonts w:ascii="Times New Roman" w:hAnsi="Times New Roman" w:eastAsia="Calibri" w:cs="Times New Roman"/>
          <w:color w:val="191919" w:themeColor="background1" w:themeShade="1A"/>
          <w:sz w:val="28"/>
          <w:szCs w:val="28"/>
          <w:lang w:val="en-US" w:eastAsia="ko-KR"/>
        </w:rPr>
        <w:t>Authors: Yesbolova A.Y., Tulemetova A.S.</w:t>
      </w:r>
      <w:r>
        <w:rPr>
          <w:rFonts w:ascii="Times New Roman" w:hAnsi="Times New Roman" w:cs="Times New Roman"/>
          <w:color w:val="191919" w:themeColor="background1" w:themeShade="1A"/>
          <w:sz w:val="28"/>
          <w:szCs w:val="28"/>
          <w:lang w:val="en-US" w:eastAsia="ko-KR"/>
        </w:rPr>
        <w:t xml:space="preserve"> Thesis of lectures </w:t>
      </w:r>
      <w:r>
        <w:rPr>
          <w:rFonts w:ascii="Times New Roman" w:hAnsi="Times New Roman" w:eastAsia="SimSun" w:cs="Times New Roman"/>
          <w:color w:val="191919" w:themeColor="background1" w:themeShade="1A"/>
          <w:sz w:val="28"/>
          <w:szCs w:val="28"/>
          <w:lang w:val="en-US"/>
        </w:rPr>
        <w:t>on discipline «</w:t>
      </w:r>
      <w:r>
        <w:rPr>
          <w:rFonts w:ascii="Times New Roman" w:hAnsi="Times New Roman" w:cs="Times New Roman"/>
          <w:color w:val="191919" w:themeColor="background1" w:themeShade="1A"/>
          <w:sz w:val="28"/>
          <w:szCs w:val="28"/>
          <w:lang w:val="en-US"/>
        </w:rPr>
        <w:t>Global economy and economic policy of the firm</w:t>
      </w:r>
      <w:r>
        <w:rPr>
          <w:rFonts w:ascii="Times New Roman" w:hAnsi="Times New Roman" w:eastAsia="SimSun" w:cs="Times New Roman"/>
          <w:color w:val="191919" w:themeColor="background1" w:themeShade="1A"/>
          <w:sz w:val="28"/>
          <w:szCs w:val="28"/>
          <w:lang w:val="en-US"/>
        </w:rPr>
        <w:t xml:space="preserve">» for </w:t>
      </w:r>
      <w:r>
        <w:rPr>
          <w:rFonts w:ascii="Times New Roman" w:hAnsi="Times New Roman" w:eastAsia="Calibri" w:cs="Times New Roman"/>
          <w:color w:val="191919" w:themeColor="background1" w:themeShade="1A"/>
          <w:sz w:val="28"/>
          <w:szCs w:val="28"/>
          <w:lang w:val="en-US"/>
        </w:rPr>
        <w:t>speciality 6D050600 – Economy. – Shymkent: M.Auezov SKSU, 2020. – 112 p.</w:t>
      </w:r>
    </w:p>
    <w:p>
      <w:pPr>
        <w:shd w:val="clear" w:color="auto" w:fill="FFFFFF"/>
        <w:spacing w:after="0" w:line="240" w:lineRule="auto"/>
        <w:jc w:val="both"/>
        <w:rPr>
          <w:rFonts w:ascii="Times New Roman" w:hAnsi="Times New Roman" w:eastAsia="Calibri" w:cs="Times New Roman"/>
          <w:color w:val="191919" w:themeColor="background1" w:themeShade="1A"/>
          <w:sz w:val="28"/>
          <w:szCs w:val="28"/>
          <w:lang w:val="en-US" w:eastAsia="ko-KR"/>
        </w:rPr>
      </w:pPr>
    </w:p>
    <w:p>
      <w:pPr>
        <w:pStyle w:val="19"/>
        <w:ind w:firstLine="567"/>
        <w:jc w:val="both"/>
        <w:rPr>
          <w:rFonts w:eastAsia="SimSun"/>
          <w:color w:val="191919" w:themeColor="background1" w:themeShade="1A"/>
          <w:sz w:val="28"/>
          <w:szCs w:val="28"/>
          <w:lang w:val="en-US"/>
        </w:rPr>
      </w:pPr>
      <w:r>
        <w:rPr>
          <w:rFonts w:eastAsia="Calibri"/>
          <w:color w:val="191919" w:themeColor="background1" w:themeShade="1A"/>
          <w:sz w:val="28"/>
          <w:szCs w:val="28"/>
          <w:lang w:val="en-US" w:eastAsia="ko-KR"/>
        </w:rPr>
        <w:t xml:space="preserve"> </w:t>
      </w:r>
      <w:r>
        <w:rPr>
          <w:rFonts w:eastAsia="SimSun"/>
          <w:color w:val="191919" w:themeColor="background1" w:themeShade="1A"/>
          <w:sz w:val="28"/>
          <w:szCs w:val="28"/>
          <w:lang w:val="en-US"/>
        </w:rPr>
        <w:t xml:space="preserve"> </w:t>
      </w:r>
    </w:p>
    <w:p>
      <w:pPr>
        <w:pStyle w:val="19"/>
        <w:ind w:firstLine="567"/>
        <w:jc w:val="both"/>
        <w:rPr>
          <w:rFonts w:eastAsia="SimSun"/>
          <w:color w:val="191919" w:themeColor="background1" w:themeShade="1A"/>
          <w:sz w:val="28"/>
          <w:szCs w:val="28"/>
          <w:lang w:val="en-US"/>
        </w:rPr>
      </w:pPr>
    </w:p>
    <w:p>
      <w:pPr>
        <w:pStyle w:val="19"/>
        <w:ind w:firstLine="567"/>
        <w:jc w:val="both"/>
        <w:rPr>
          <w:color w:val="191919" w:themeColor="background1" w:themeShade="1A"/>
          <w:sz w:val="28"/>
          <w:szCs w:val="28"/>
          <w:highlight w:val="yellow"/>
          <w:lang w:val="en-US"/>
        </w:rPr>
      </w:pPr>
      <w:r>
        <w:rPr>
          <w:color w:val="191919" w:themeColor="background1" w:themeShade="1A"/>
          <w:sz w:val="28"/>
          <w:szCs w:val="28"/>
          <w:lang w:val="en-US"/>
        </w:rPr>
        <w:t>The main goal of the course is to build up the understanding of the theory and policy of the contemporary global economics. The focus of the course is not only on traditional theories of international economics, i.e. on international trade, finance and growth, but on modern trends of economic development and on the latest empirical research in the most significant spheres of the global economics.</w:t>
      </w:r>
    </w:p>
    <w:p>
      <w:pPr>
        <w:widowControl w:val="0"/>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Also, the course purpose is to create the ordered system of knowledge of theoretical, methodological and practical questions of the effective business in the Global Economy and Policy.</w:t>
      </w:r>
    </w:p>
    <w:p>
      <w:pPr>
        <w:shd w:val="clear" w:color="auto" w:fill="FFFFFF"/>
        <w:spacing w:after="0" w:line="240" w:lineRule="auto"/>
        <w:jc w:val="both"/>
        <w:rPr>
          <w:rFonts w:ascii="Times New Roman" w:hAnsi="Times New Roman" w:eastAsia="Calibri" w:cs="Times New Roman"/>
          <w:color w:val="191919" w:themeColor="background1" w:themeShade="1A"/>
          <w:sz w:val="28"/>
          <w:szCs w:val="28"/>
          <w:lang w:val="en-US" w:eastAsia="ko-KR"/>
        </w:rPr>
      </w:pPr>
      <w:r>
        <w:rPr>
          <w:rFonts w:ascii="Times New Roman" w:hAnsi="Times New Roman" w:eastAsia="Calibri" w:cs="Times New Roman"/>
          <w:color w:val="191919" w:themeColor="background1" w:themeShade="1A"/>
          <w:sz w:val="28"/>
          <w:szCs w:val="28"/>
          <w:lang w:val="en-US" w:eastAsia="ko-KR"/>
        </w:rPr>
        <w:t xml:space="preserve">                                  </w:t>
      </w:r>
    </w:p>
    <w:p>
      <w:pPr>
        <w:spacing w:after="0" w:line="240" w:lineRule="auto"/>
        <w:ind w:firstLine="709"/>
        <w:jc w:val="both"/>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 xml:space="preserve"> </w:t>
      </w:r>
    </w:p>
    <w:p>
      <w:pPr>
        <w:spacing w:after="0" w:line="240" w:lineRule="auto"/>
        <w:ind w:firstLine="709"/>
        <w:jc w:val="both"/>
        <w:rPr>
          <w:rFonts w:ascii="Times New Roman" w:hAnsi="Times New Roman" w:eastAsia="Calibri" w:cs="Times New Roman"/>
          <w:color w:val="191919" w:themeColor="background1" w:themeShade="1A"/>
          <w:sz w:val="28"/>
          <w:szCs w:val="28"/>
          <w:lang w:val="en-US" w:eastAsia="ko-KR"/>
        </w:rPr>
      </w:pPr>
    </w:p>
    <w:p>
      <w:pPr>
        <w:spacing w:after="0" w:line="240" w:lineRule="auto"/>
        <w:ind w:firstLine="709"/>
        <w:jc w:val="both"/>
        <w:rPr>
          <w:rFonts w:ascii="Times New Roman" w:hAnsi="Times New Roman" w:eastAsia="Calibri" w:cs="Times New Roman"/>
          <w:color w:val="191919" w:themeColor="background1" w:themeShade="1A"/>
          <w:sz w:val="28"/>
          <w:szCs w:val="28"/>
          <w:lang w:val="en-US" w:eastAsia="ko-KR"/>
        </w:rPr>
      </w:pPr>
      <w:r>
        <w:rPr>
          <w:rFonts w:ascii="Times New Roman" w:hAnsi="Times New Roman" w:eastAsia="Calibri" w:cs="Times New Roman"/>
          <w:color w:val="191919" w:themeColor="background1" w:themeShade="1A"/>
          <w:sz w:val="28"/>
          <w:szCs w:val="28"/>
          <w:lang w:val="en-US" w:eastAsia="ko-KR"/>
        </w:rPr>
        <w:t xml:space="preserve">Reviewer: </w:t>
      </w:r>
      <w:r>
        <w:rPr>
          <w:rFonts w:ascii="Times New Roman" w:hAnsi="Times New Roman" w:eastAsia="Calibri" w:cs="Times New Roman"/>
          <w:color w:val="191919"/>
          <w:sz w:val="28"/>
          <w:szCs w:val="28"/>
          <w:lang w:val="en-US"/>
        </w:rPr>
        <w:t xml:space="preserve">Moldagazieva G.M. </w:t>
      </w:r>
      <w:r>
        <w:rPr>
          <w:rFonts w:ascii="Times New Roman" w:hAnsi="Times New Roman" w:eastAsia="Calibri" w:cs="Times New Roman"/>
          <w:color w:val="191919" w:themeColor="background1" w:themeShade="1A"/>
          <w:sz w:val="28"/>
          <w:szCs w:val="28"/>
          <w:lang w:val="en-US"/>
        </w:rPr>
        <w:t>– cand.econ.scien., head of department «Business and Commercialization» M.Auezov South Kazakhstan State University</w:t>
      </w:r>
      <w:r>
        <w:rPr>
          <w:rFonts w:ascii="Times New Roman" w:hAnsi="Times New Roman" w:eastAsia="Calibri" w:cs="Times New Roman"/>
          <w:color w:val="191919" w:themeColor="background1" w:themeShade="1A"/>
          <w:sz w:val="28"/>
          <w:szCs w:val="28"/>
          <w:lang w:val="en-US" w:eastAsia="ko-KR"/>
        </w:rPr>
        <w:t xml:space="preserve"> </w:t>
      </w:r>
    </w:p>
    <w:p>
      <w:pPr>
        <w:spacing w:after="0" w:line="240" w:lineRule="auto"/>
        <w:ind w:firstLine="709"/>
        <w:jc w:val="both"/>
        <w:rPr>
          <w:rFonts w:ascii="Times New Roman" w:hAnsi="Times New Roman" w:eastAsia="Calibri" w:cs="Times New Roman"/>
          <w:color w:val="191919" w:themeColor="background1" w:themeShade="1A"/>
          <w:sz w:val="28"/>
          <w:szCs w:val="28"/>
          <w:lang w:val="en-US"/>
        </w:rPr>
      </w:pPr>
    </w:p>
    <w:p>
      <w:pPr>
        <w:spacing w:after="0" w:line="240" w:lineRule="auto"/>
        <w:ind w:firstLine="709"/>
        <w:jc w:val="both"/>
        <w:rPr>
          <w:rFonts w:ascii="Times New Roman" w:hAnsi="Times New Roman" w:eastAsia="Calibri" w:cs="Times New Roman"/>
          <w:color w:val="191919" w:themeColor="background1" w:themeShade="1A"/>
          <w:sz w:val="28"/>
          <w:szCs w:val="28"/>
          <w:lang w:val="en-US" w:eastAsia="ko-KR"/>
        </w:rPr>
      </w:pPr>
    </w:p>
    <w:p>
      <w:pPr>
        <w:spacing w:after="0" w:line="240" w:lineRule="auto"/>
        <w:ind w:firstLine="709"/>
        <w:jc w:val="both"/>
        <w:rPr>
          <w:rFonts w:ascii="Times New Roman" w:hAnsi="Times New Roman" w:eastAsia="Calibri" w:cs="Times New Roman"/>
          <w:color w:val="191919" w:themeColor="background1" w:themeShade="1A"/>
          <w:sz w:val="28"/>
          <w:szCs w:val="28"/>
          <w:lang w:val="en-US" w:eastAsia="ko-KR"/>
        </w:rPr>
      </w:pPr>
      <w:r>
        <w:rPr>
          <w:rFonts w:ascii="Times New Roman" w:hAnsi="Times New Roman" w:cs="Times New Roman"/>
          <w:color w:val="191919" w:themeColor="background1" w:themeShade="1A"/>
          <w:sz w:val="28"/>
          <w:szCs w:val="28"/>
          <w:lang w:val="en-US" w:eastAsia="ko-KR"/>
        </w:rPr>
        <w:t xml:space="preserve">Thesis of lectures </w:t>
      </w:r>
      <w:r>
        <w:rPr>
          <w:rFonts w:ascii="Times New Roman" w:hAnsi="Times New Roman" w:eastAsia="Calibri" w:cs="Times New Roman"/>
          <w:color w:val="191919" w:themeColor="background1" w:themeShade="1A"/>
          <w:sz w:val="28"/>
          <w:szCs w:val="28"/>
          <w:lang w:val="en-US" w:eastAsia="ko-KR"/>
        </w:rPr>
        <w:t xml:space="preserve">is considered and recommended for printing by department meeting "Economy", (protocol No. </w:t>
      </w:r>
      <w:r>
        <w:rPr>
          <w:rFonts w:hint="default" w:ascii="Times New Roman" w:hAnsi="Times New Roman" w:eastAsia="Calibri" w:cs="Times New Roman"/>
          <w:color w:val="191919" w:themeColor="background1" w:themeShade="1A"/>
          <w:sz w:val="28"/>
          <w:szCs w:val="28"/>
          <w:lang w:val="ru-RU" w:eastAsia="ko-KR"/>
        </w:rPr>
        <w:t>6</w:t>
      </w:r>
      <w:r>
        <w:rPr>
          <w:rFonts w:ascii="Times New Roman" w:hAnsi="Times New Roman" w:eastAsia="Calibri" w:cs="Times New Roman"/>
          <w:color w:val="191919" w:themeColor="background1" w:themeShade="1A"/>
          <w:sz w:val="28"/>
          <w:szCs w:val="28"/>
          <w:lang w:val="en-US" w:eastAsia="ko-KR"/>
        </w:rPr>
        <w:t>__ from “_</w:t>
      </w:r>
      <w:r>
        <w:rPr>
          <w:rFonts w:hint="default" w:ascii="Times New Roman" w:hAnsi="Times New Roman" w:eastAsia="Calibri" w:cs="Times New Roman"/>
          <w:color w:val="191919" w:themeColor="background1" w:themeShade="1A"/>
          <w:sz w:val="28"/>
          <w:szCs w:val="28"/>
          <w:lang w:val="ru-RU" w:eastAsia="ko-KR"/>
        </w:rPr>
        <w:t>22</w:t>
      </w:r>
      <w:r>
        <w:rPr>
          <w:rFonts w:ascii="Times New Roman" w:hAnsi="Times New Roman" w:eastAsia="Calibri" w:cs="Times New Roman"/>
          <w:color w:val="191919" w:themeColor="background1" w:themeShade="1A"/>
          <w:sz w:val="28"/>
          <w:szCs w:val="28"/>
          <w:lang w:val="en-US" w:eastAsia="ko-KR"/>
        </w:rPr>
        <w:t>__” ___</w:t>
      </w:r>
      <w:r>
        <w:rPr>
          <w:rFonts w:hint="default" w:ascii="Times New Roman" w:hAnsi="Times New Roman" w:eastAsia="Calibri" w:cs="Times New Roman"/>
          <w:color w:val="191919" w:themeColor="background1" w:themeShade="1A"/>
          <w:sz w:val="28"/>
          <w:szCs w:val="28"/>
          <w:lang w:val="ru-RU" w:eastAsia="ko-KR"/>
        </w:rPr>
        <w:t>01</w:t>
      </w:r>
      <w:r>
        <w:rPr>
          <w:rFonts w:ascii="Times New Roman" w:hAnsi="Times New Roman" w:eastAsia="Calibri" w:cs="Times New Roman"/>
          <w:color w:val="191919" w:themeColor="background1" w:themeShade="1A"/>
          <w:sz w:val="28"/>
          <w:szCs w:val="28"/>
          <w:lang w:val="en-US" w:eastAsia="ko-KR"/>
        </w:rPr>
        <w:t>___20</w:t>
      </w:r>
      <w:r>
        <w:rPr>
          <w:rFonts w:hint="default" w:ascii="Times New Roman" w:hAnsi="Times New Roman" w:eastAsia="Calibri" w:cs="Times New Roman"/>
          <w:color w:val="191919" w:themeColor="background1" w:themeShade="1A"/>
          <w:sz w:val="28"/>
          <w:szCs w:val="28"/>
          <w:lang w:val="ru-RU" w:eastAsia="ko-KR"/>
        </w:rPr>
        <w:t>20</w:t>
      </w:r>
      <w:r>
        <w:rPr>
          <w:rFonts w:ascii="Times New Roman" w:hAnsi="Times New Roman" w:eastAsia="Calibri" w:cs="Times New Roman"/>
          <w:color w:val="191919" w:themeColor="background1" w:themeShade="1A"/>
          <w:sz w:val="28"/>
          <w:szCs w:val="28"/>
          <w:lang w:val="en-US" w:eastAsia="ko-KR"/>
        </w:rPr>
        <w:t xml:space="preserve">___) and </w:t>
      </w:r>
    </w:p>
    <w:p>
      <w:pPr>
        <w:spacing w:after="0" w:line="240" w:lineRule="auto"/>
        <w:ind w:firstLine="709"/>
        <w:rPr>
          <w:rFonts w:ascii="Times New Roman" w:hAnsi="Times New Roman" w:eastAsia="Calibri" w:cs="Times New Roman"/>
          <w:color w:val="191919" w:themeColor="background1" w:themeShade="1A"/>
          <w:sz w:val="28"/>
          <w:szCs w:val="28"/>
          <w:lang w:val="en-US" w:eastAsia="ko-KR"/>
        </w:rPr>
      </w:pPr>
    </w:p>
    <w:p>
      <w:pPr>
        <w:spacing w:after="0" w:line="240" w:lineRule="auto"/>
        <w:ind w:firstLine="709"/>
        <w:jc w:val="both"/>
        <w:rPr>
          <w:rFonts w:ascii="Times New Roman" w:hAnsi="Times New Roman" w:eastAsia="Calibri" w:cs="Times New Roman"/>
          <w:color w:val="191919" w:themeColor="background1" w:themeShade="1A"/>
          <w:sz w:val="28"/>
          <w:szCs w:val="28"/>
          <w:lang w:val="en-US" w:eastAsia="ko-KR"/>
        </w:rPr>
      </w:pPr>
      <w:r>
        <w:rPr>
          <w:rFonts w:ascii="Times New Roman" w:hAnsi="Times New Roman" w:eastAsia="Calibri" w:cs="Times New Roman"/>
          <w:color w:val="191919" w:themeColor="background1" w:themeShade="1A"/>
          <w:sz w:val="28"/>
          <w:szCs w:val="28"/>
          <w:lang w:val="en-US" w:eastAsia="ko-KR"/>
        </w:rPr>
        <w:t>the Methodical Commission of high school “Management and Business”, (protocol No. __</w:t>
      </w:r>
      <w:r>
        <w:rPr>
          <w:rFonts w:hint="default" w:ascii="Times New Roman" w:hAnsi="Times New Roman" w:eastAsia="Calibri" w:cs="Times New Roman"/>
          <w:color w:val="191919" w:themeColor="background1" w:themeShade="1A"/>
          <w:sz w:val="28"/>
          <w:szCs w:val="28"/>
          <w:lang w:val="ru-RU" w:eastAsia="ko-KR"/>
        </w:rPr>
        <w:t>6</w:t>
      </w:r>
      <w:r>
        <w:rPr>
          <w:rFonts w:ascii="Times New Roman" w:hAnsi="Times New Roman" w:eastAsia="Calibri" w:cs="Times New Roman"/>
          <w:color w:val="191919" w:themeColor="background1" w:themeShade="1A"/>
          <w:sz w:val="28"/>
          <w:szCs w:val="28"/>
          <w:lang w:val="en-US" w:eastAsia="ko-KR"/>
        </w:rPr>
        <w:t>_ from “__</w:t>
      </w:r>
      <w:r>
        <w:rPr>
          <w:rFonts w:hint="default" w:ascii="Times New Roman" w:hAnsi="Times New Roman" w:eastAsia="Calibri" w:cs="Times New Roman"/>
          <w:color w:val="191919" w:themeColor="background1" w:themeShade="1A"/>
          <w:sz w:val="28"/>
          <w:szCs w:val="28"/>
          <w:lang w:val="ru-RU" w:eastAsia="ko-KR"/>
        </w:rPr>
        <w:t>24</w:t>
      </w:r>
      <w:r>
        <w:rPr>
          <w:rFonts w:ascii="Times New Roman" w:hAnsi="Times New Roman" w:eastAsia="Calibri" w:cs="Times New Roman"/>
          <w:color w:val="191919" w:themeColor="background1" w:themeShade="1A"/>
          <w:sz w:val="28"/>
          <w:szCs w:val="28"/>
          <w:lang w:val="en-US" w:eastAsia="ko-KR"/>
        </w:rPr>
        <w:t>___”___</w:t>
      </w:r>
      <w:r>
        <w:rPr>
          <w:rFonts w:hint="default" w:ascii="Times New Roman" w:hAnsi="Times New Roman" w:eastAsia="Calibri" w:cs="Times New Roman"/>
          <w:color w:val="191919" w:themeColor="background1" w:themeShade="1A"/>
          <w:sz w:val="28"/>
          <w:szCs w:val="28"/>
          <w:lang w:val="ru-RU" w:eastAsia="ko-KR"/>
        </w:rPr>
        <w:t>01</w:t>
      </w:r>
      <w:r>
        <w:rPr>
          <w:rFonts w:ascii="Times New Roman" w:hAnsi="Times New Roman" w:eastAsia="Calibri" w:cs="Times New Roman"/>
          <w:color w:val="191919" w:themeColor="background1" w:themeShade="1A"/>
          <w:sz w:val="28"/>
          <w:szCs w:val="28"/>
          <w:lang w:val="en-US" w:eastAsia="ko-KR"/>
        </w:rPr>
        <w:t>____ 20</w:t>
      </w:r>
      <w:r>
        <w:rPr>
          <w:rFonts w:hint="default" w:ascii="Times New Roman" w:hAnsi="Times New Roman" w:eastAsia="Calibri" w:cs="Times New Roman"/>
          <w:color w:val="191919" w:themeColor="background1" w:themeShade="1A"/>
          <w:sz w:val="28"/>
          <w:szCs w:val="28"/>
          <w:lang w:val="ru-RU" w:eastAsia="ko-KR"/>
        </w:rPr>
        <w:t>20</w:t>
      </w:r>
      <w:bookmarkStart w:id="18" w:name="_GoBack"/>
      <w:bookmarkEnd w:id="18"/>
      <w:r>
        <w:rPr>
          <w:rFonts w:ascii="Times New Roman" w:hAnsi="Times New Roman" w:eastAsia="Calibri" w:cs="Times New Roman"/>
          <w:color w:val="191919" w:themeColor="background1" w:themeShade="1A"/>
          <w:sz w:val="28"/>
          <w:szCs w:val="28"/>
          <w:lang w:val="en-US" w:eastAsia="ko-KR"/>
        </w:rPr>
        <w:t>___)</w:t>
      </w:r>
    </w:p>
    <w:p>
      <w:pPr>
        <w:spacing w:after="0" w:line="240" w:lineRule="auto"/>
        <w:ind w:firstLine="709"/>
        <w:rPr>
          <w:rFonts w:ascii="Times New Roman" w:hAnsi="Times New Roman" w:eastAsia="Calibri" w:cs="Times New Roman"/>
          <w:color w:val="191919" w:themeColor="background1" w:themeShade="1A"/>
          <w:sz w:val="28"/>
          <w:szCs w:val="28"/>
          <w:lang w:val="en-US" w:eastAsia="ko-KR"/>
        </w:rPr>
      </w:pPr>
    </w:p>
    <w:p>
      <w:pPr>
        <w:spacing w:after="0" w:line="240" w:lineRule="auto"/>
        <w:ind w:firstLine="709"/>
        <w:rPr>
          <w:rFonts w:ascii="Times New Roman" w:hAnsi="Times New Roman" w:eastAsia="Calibri" w:cs="Times New Roman"/>
          <w:color w:val="191919" w:themeColor="background1" w:themeShade="1A"/>
          <w:sz w:val="28"/>
          <w:szCs w:val="28"/>
          <w:lang w:val="en-US" w:eastAsia="ko-KR"/>
        </w:rPr>
      </w:pPr>
    </w:p>
    <w:p>
      <w:pPr>
        <w:spacing w:after="0" w:line="240" w:lineRule="auto"/>
        <w:ind w:firstLine="709"/>
        <w:jc w:val="both"/>
        <w:rPr>
          <w:rFonts w:ascii="Times New Roman" w:hAnsi="Times New Roman" w:eastAsia="Calibri" w:cs="Times New Roman"/>
          <w:color w:val="191919" w:themeColor="background1" w:themeShade="1A"/>
          <w:sz w:val="28"/>
          <w:szCs w:val="28"/>
          <w:lang w:val="en-US" w:eastAsia="ko-KR"/>
        </w:rPr>
      </w:pPr>
      <w:r>
        <w:rPr>
          <w:rFonts w:ascii="Times New Roman" w:hAnsi="Times New Roman" w:eastAsia="Calibri" w:cs="Times New Roman"/>
          <w:color w:val="191919" w:themeColor="background1" w:themeShade="1A"/>
          <w:sz w:val="28"/>
          <w:szCs w:val="28"/>
          <w:lang w:val="en-US" w:eastAsia="ko-KR"/>
        </w:rPr>
        <w:t>It is recommended to the edition by Educational and Methodical council of M. Auezov SKSU, protocol No. ___ from “____” to ______________ 201 __.</w:t>
      </w:r>
    </w:p>
    <w:p>
      <w:pPr>
        <w:spacing w:after="0" w:line="240" w:lineRule="auto"/>
        <w:ind w:firstLine="709"/>
        <w:rPr>
          <w:rFonts w:ascii="Times New Roman" w:hAnsi="Times New Roman" w:eastAsia="Calibri" w:cs="Times New Roman"/>
          <w:color w:val="191919" w:themeColor="background1" w:themeShade="1A"/>
          <w:sz w:val="28"/>
          <w:szCs w:val="28"/>
          <w:lang w:val="en-US" w:eastAsia="ko-KR"/>
        </w:rPr>
      </w:pPr>
    </w:p>
    <w:p>
      <w:pPr>
        <w:spacing w:after="0" w:line="240" w:lineRule="auto"/>
        <w:ind w:firstLine="709"/>
        <w:rPr>
          <w:rFonts w:ascii="Times New Roman" w:hAnsi="Times New Roman" w:eastAsia="Calibri" w:cs="Times New Roman"/>
          <w:color w:val="191919" w:themeColor="background1" w:themeShade="1A"/>
          <w:sz w:val="28"/>
          <w:szCs w:val="28"/>
          <w:lang w:val="en-US" w:eastAsia="ko-KR"/>
        </w:rPr>
      </w:pPr>
    </w:p>
    <w:p>
      <w:pPr>
        <w:spacing w:after="0" w:line="240" w:lineRule="auto"/>
        <w:ind w:firstLine="709"/>
        <w:rPr>
          <w:rFonts w:ascii="Times New Roman" w:hAnsi="Times New Roman" w:eastAsia="Calibri" w:cs="Times New Roman"/>
          <w:color w:val="191919" w:themeColor="background1" w:themeShade="1A"/>
          <w:sz w:val="28"/>
          <w:szCs w:val="28"/>
          <w:lang w:val="en-US" w:eastAsia="ko-KR"/>
        </w:rPr>
      </w:pPr>
    </w:p>
    <w:p>
      <w:pPr>
        <w:spacing w:after="0" w:line="240" w:lineRule="auto"/>
        <w:ind w:firstLine="709"/>
        <w:rPr>
          <w:rFonts w:ascii="Times New Roman" w:hAnsi="Times New Roman" w:eastAsia="Calibri" w:cs="Times New Roman"/>
          <w:color w:val="191919" w:themeColor="background1" w:themeShade="1A"/>
          <w:sz w:val="28"/>
          <w:szCs w:val="28"/>
          <w:lang w:val="en-US" w:eastAsia="ko-KR"/>
        </w:rPr>
      </w:pPr>
    </w:p>
    <w:p>
      <w:pPr>
        <w:spacing w:after="0" w:line="240" w:lineRule="auto"/>
        <w:ind w:firstLine="709"/>
        <w:rPr>
          <w:rFonts w:ascii="Times New Roman" w:hAnsi="Times New Roman" w:eastAsia="Calibri" w:cs="Times New Roman"/>
          <w:color w:val="191919" w:themeColor="background1" w:themeShade="1A"/>
          <w:sz w:val="28"/>
          <w:szCs w:val="28"/>
          <w:lang w:val="en-US" w:eastAsia="ko-KR"/>
        </w:rPr>
      </w:pPr>
    </w:p>
    <w:p>
      <w:pPr>
        <w:spacing w:after="0" w:line="240" w:lineRule="auto"/>
        <w:ind w:firstLine="709"/>
        <w:rPr>
          <w:rFonts w:ascii="Times New Roman" w:hAnsi="Times New Roman" w:eastAsia="Calibri" w:cs="Times New Roman"/>
          <w:color w:val="191919" w:themeColor="background1" w:themeShade="1A"/>
          <w:sz w:val="28"/>
          <w:szCs w:val="28"/>
          <w:lang w:val="en-US" w:eastAsia="ko-KR"/>
        </w:rPr>
      </w:pPr>
    </w:p>
    <w:p>
      <w:pPr>
        <w:spacing w:after="0" w:line="240" w:lineRule="auto"/>
        <w:ind w:firstLine="709"/>
        <w:rPr>
          <w:rFonts w:ascii="Times New Roman" w:hAnsi="Times New Roman" w:eastAsia="Calibri" w:cs="Times New Roman"/>
          <w:color w:val="191919" w:themeColor="background1" w:themeShade="1A"/>
          <w:sz w:val="28"/>
          <w:szCs w:val="28"/>
          <w:lang w:val="en-US" w:eastAsia="ko-KR"/>
        </w:rPr>
      </w:pPr>
    </w:p>
    <w:p>
      <w:pPr>
        <w:spacing w:after="0" w:line="240" w:lineRule="auto"/>
        <w:jc w:val="both"/>
        <w:rPr>
          <w:rFonts w:ascii="Times New Roman" w:hAnsi="Times New Roman" w:eastAsia="Calibri" w:cs="Times New Roman"/>
          <w:color w:val="191919" w:themeColor="background1" w:themeShade="1A"/>
          <w:sz w:val="24"/>
          <w:szCs w:val="24"/>
          <w:lang w:val="kk-KZ"/>
        </w:rPr>
      </w:pPr>
      <w:r>
        <w:rPr>
          <w:rFonts w:ascii="Times New Roman" w:hAnsi="Times New Roman" w:eastAsia="Calibri" w:cs="Times New Roman"/>
          <w:color w:val="191919" w:themeColor="background1" w:themeShade="1A"/>
          <w:sz w:val="24"/>
          <w:szCs w:val="24"/>
          <w:lang w:val="en-US" w:eastAsia="ko-KR"/>
        </w:rPr>
        <w:t>© M.Auezov South Kazakhstan State University</w:t>
      </w:r>
      <w:r>
        <w:rPr>
          <w:rFonts w:ascii="Times New Roman" w:hAnsi="Times New Roman" w:eastAsia="Calibri" w:cs="Times New Roman"/>
          <w:color w:val="191919" w:themeColor="background1" w:themeShade="1A"/>
          <w:sz w:val="24"/>
          <w:szCs w:val="24"/>
          <w:lang w:val="kk-KZ"/>
        </w:rPr>
        <w:t>, 20</w:t>
      </w:r>
      <w:r>
        <w:rPr>
          <w:rFonts w:ascii="Times New Roman" w:hAnsi="Times New Roman" w:eastAsia="Calibri" w:cs="Times New Roman"/>
          <w:color w:val="191919" w:themeColor="background1" w:themeShade="1A"/>
          <w:sz w:val="24"/>
          <w:szCs w:val="24"/>
          <w:lang w:val="en-US"/>
        </w:rPr>
        <w:t>20</w:t>
      </w:r>
      <w:r>
        <w:rPr>
          <w:rFonts w:ascii="Times New Roman" w:hAnsi="Times New Roman" w:eastAsia="Calibri" w:cs="Times New Roman"/>
          <w:color w:val="191919" w:themeColor="background1" w:themeShade="1A"/>
          <w:sz w:val="24"/>
          <w:szCs w:val="24"/>
          <w:lang w:val="kk-KZ"/>
        </w:rPr>
        <w:t>.</w:t>
      </w:r>
    </w:p>
    <w:p>
      <w:pPr>
        <w:spacing w:after="0" w:line="240" w:lineRule="auto"/>
        <w:jc w:val="both"/>
        <w:rPr>
          <w:rFonts w:ascii="Times New Roman" w:hAnsi="Times New Roman" w:eastAsia="Calibri" w:cs="Times New Roman"/>
          <w:color w:val="191919" w:themeColor="background1" w:themeShade="1A"/>
          <w:sz w:val="24"/>
          <w:szCs w:val="24"/>
          <w:lang w:val="en-US"/>
        </w:rPr>
      </w:pPr>
      <w:r>
        <w:rPr>
          <w:rFonts w:ascii="Times New Roman" w:hAnsi="Times New Roman" w:eastAsia="Calibri" w:cs="Times New Roman"/>
          <w:color w:val="191919" w:themeColor="background1" w:themeShade="1A"/>
          <w:sz w:val="24"/>
          <w:szCs w:val="24"/>
          <w:lang w:val="en-US"/>
        </w:rPr>
        <w:t>Responsible for release Yesbolova A.Y.</w:t>
      </w:r>
    </w:p>
    <w:p>
      <w:pPr>
        <w:spacing w:after="0" w:line="240" w:lineRule="auto"/>
        <w:ind w:firstLine="709"/>
        <w:rPr>
          <w:rFonts w:ascii="Times New Roman" w:hAnsi="Times New Roman" w:cs="Times New Roman"/>
          <w:color w:val="191919" w:themeColor="background1" w:themeShade="1A"/>
          <w:sz w:val="28"/>
          <w:szCs w:val="28"/>
          <w:lang w:val="kk-KZ"/>
        </w:rPr>
      </w:pPr>
    </w:p>
    <w:p>
      <w:pPr>
        <w:spacing w:after="0" w:line="240" w:lineRule="auto"/>
        <w:ind w:firstLine="709"/>
        <w:rPr>
          <w:rFonts w:ascii="Times New Roman" w:hAnsi="Times New Roman" w:cs="Times New Roman"/>
          <w:color w:val="191919" w:themeColor="background1" w:themeShade="1A"/>
          <w:sz w:val="28"/>
          <w:szCs w:val="28"/>
          <w:lang w:val="kk-KZ"/>
        </w:rPr>
      </w:pPr>
    </w:p>
    <w:p>
      <w:pPr>
        <w:spacing w:after="0" w:line="240" w:lineRule="auto"/>
        <w:ind w:firstLine="709"/>
        <w:rPr>
          <w:rFonts w:ascii="Times New Roman" w:hAnsi="Times New Roman" w:cs="Times New Roman"/>
          <w:color w:val="191919" w:themeColor="background1" w:themeShade="1A"/>
          <w:lang w:val="en-US"/>
        </w:rPr>
      </w:pPr>
    </w:p>
    <w:p>
      <w:pPr>
        <w:spacing w:after="0" w:line="240" w:lineRule="auto"/>
        <w:ind w:firstLine="709"/>
        <w:rPr>
          <w:rFonts w:ascii="Times New Roman" w:hAnsi="Times New Roman" w:cs="Times New Roman"/>
          <w:color w:val="191919" w:themeColor="background1" w:themeShade="1A"/>
          <w:lang w:val="en-US"/>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5"/>
        <w:gridCol w:w="7655"/>
        <w:gridCol w:w="12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p>
        </w:tc>
        <w:tc>
          <w:tcPr>
            <w:tcW w:w="7655" w:type="dxa"/>
          </w:tcPr>
          <w:p>
            <w:pPr>
              <w:spacing w:after="0" w:line="360" w:lineRule="auto"/>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Contents</w:t>
            </w:r>
            <w:r>
              <w:rPr>
                <w:rFonts w:ascii="Times New Roman" w:hAnsi="Times New Roman" w:cs="Times New Roman"/>
                <w:color w:val="191919" w:themeColor="background1" w:themeShade="1A"/>
                <w:sz w:val="28"/>
                <w:szCs w:val="28"/>
              </w:rPr>
              <w:t xml:space="preserve"> </w:t>
            </w:r>
          </w:p>
        </w:tc>
        <w:tc>
          <w:tcPr>
            <w:tcW w:w="1241" w:type="dxa"/>
          </w:tcPr>
          <w:p>
            <w:pPr>
              <w:spacing w:after="0" w:line="360" w:lineRule="auto"/>
              <w:rPr>
                <w:rFonts w:ascii="Times New Roman" w:hAnsi="Times New Roman" w:cs="Times New Roman"/>
                <w:color w:val="191919" w:themeColor="background1" w:themeShade="1A"/>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rPr>
            </w:pPr>
          </w:p>
        </w:tc>
        <w:tc>
          <w:tcPr>
            <w:tcW w:w="765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Introduction</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1</w:t>
            </w:r>
          </w:p>
        </w:tc>
        <w:tc>
          <w:tcPr>
            <w:tcW w:w="7655" w:type="dxa"/>
          </w:tcPr>
          <w:p>
            <w:pPr>
              <w:pStyle w:val="19"/>
              <w:spacing w:line="360" w:lineRule="auto"/>
              <w:jc w:val="both"/>
              <w:rPr>
                <w:color w:val="191919" w:themeColor="background1" w:themeShade="1A"/>
                <w:sz w:val="28"/>
                <w:szCs w:val="28"/>
                <w:lang w:val="en-US"/>
              </w:rPr>
            </w:pPr>
            <w:r>
              <w:rPr>
                <w:bCs/>
                <w:color w:val="191919" w:themeColor="background1" w:themeShade="1A"/>
                <w:sz w:val="28"/>
                <w:szCs w:val="28"/>
                <w:lang w:val="en-US"/>
              </w:rPr>
              <w:t xml:space="preserve">Subject 1. Introduction </w:t>
            </w:r>
            <w:r>
              <w:rPr>
                <w:color w:val="191919" w:themeColor="background1" w:themeShade="1A"/>
                <w:kern w:val="36"/>
                <w:sz w:val="28"/>
                <w:szCs w:val="28"/>
                <w:lang w:val="en-US"/>
              </w:rPr>
              <w:t>to the Global Economy</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2</w:t>
            </w:r>
          </w:p>
        </w:tc>
        <w:tc>
          <w:tcPr>
            <w:tcW w:w="7655" w:type="dxa"/>
          </w:tcPr>
          <w:p>
            <w:pPr>
              <w:pStyle w:val="19"/>
              <w:spacing w:line="360" w:lineRule="auto"/>
              <w:jc w:val="both"/>
              <w:rPr>
                <w:color w:val="191919" w:themeColor="background1" w:themeShade="1A"/>
                <w:sz w:val="28"/>
                <w:szCs w:val="28"/>
                <w:lang w:val="en-US"/>
              </w:rPr>
            </w:pPr>
            <w:r>
              <w:rPr>
                <w:bCs/>
                <w:color w:val="191919" w:themeColor="background1" w:themeShade="1A"/>
                <w:sz w:val="28"/>
                <w:szCs w:val="28"/>
                <w:lang w:val="en-US"/>
              </w:rPr>
              <w:t>Subject 2. Global production patterns</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3</w:t>
            </w:r>
          </w:p>
        </w:tc>
        <w:tc>
          <w:tcPr>
            <w:tcW w:w="7655" w:type="dxa"/>
          </w:tcPr>
          <w:p>
            <w:pPr>
              <w:pStyle w:val="19"/>
              <w:spacing w:line="360" w:lineRule="auto"/>
              <w:jc w:val="both"/>
              <w:rPr>
                <w:color w:val="191919" w:themeColor="background1" w:themeShade="1A"/>
                <w:sz w:val="28"/>
                <w:szCs w:val="28"/>
                <w:lang w:val="en-US"/>
              </w:rPr>
            </w:pPr>
            <w:r>
              <w:rPr>
                <w:bCs/>
                <w:color w:val="191919" w:themeColor="background1" w:themeShade="1A"/>
                <w:sz w:val="28"/>
                <w:szCs w:val="28"/>
                <w:lang w:val="en-US"/>
              </w:rPr>
              <w:t xml:space="preserve">Subject 3. Global economies </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4</w:t>
            </w:r>
          </w:p>
        </w:tc>
        <w:tc>
          <w:tcPr>
            <w:tcW w:w="7655" w:type="dxa"/>
          </w:tcPr>
          <w:p>
            <w:pPr>
              <w:pStyle w:val="19"/>
              <w:spacing w:line="360" w:lineRule="auto"/>
              <w:jc w:val="both"/>
              <w:rPr>
                <w:color w:val="191919" w:themeColor="background1" w:themeShade="1A"/>
                <w:sz w:val="28"/>
                <w:szCs w:val="28"/>
                <w:lang w:val="en-US"/>
              </w:rPr>
            </w:pPr>
            <w:r>
              <w:rPr>
                <w:bCs/>
                <w:color w:val="191919" w:themeColor="background1" w:themeShade="1A"/>
                <w:sz w:val="28"/>
                <w:szCs w:val="28"/>
                <w:lang w:val="en-US"/>
              </w:rPr>
              <w:t xml:space="preserve">Subject 4. Basics of the Word trade theory </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5</w:t>
            </w:r>
          </w:p>
        </w:tc>
        <w:tc>
          <w:tcPr>
            <w:tcW w:w="7655" w:type="dxa"/>
          </w:tcPr>
          <w:p>
            <w:pPr>
              <w:pStyle w:val="19"/>
              <w:spacing w:line="360" w:lineRule="auto"/>
              <w:jc w:val="both"/>
              <w:rPr>
                <w:color w:val="191919" w:themeColor="background1" w:themeShade="1A"/>
                <w:sz w:val="28"/>
                <w:szCs w:val="28"/>
                <w:lang w:val="en-US"/>
              </w:rPr>
            </w:pPr>
            <w:r>
              <w:rPr>
                <w:bCs/>
                <w:color w:val="191919" w:themeColor="background1" w:themeShade="1A"/>
                <w:sz w:val="28"/>
                <w:szCs w:val="28"/>
                <w:lang w:val="en-US"/>
              </w:rPr>
              <w:t xml:space="preserve">Subject 5. Trade policy instruments. Tariffs and Non-Tariff Barriers to Trade </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6</w:t>
            </w:r>
          </w:p>
        </w:tc>
        <w:tc>
          <w:tcPr>
            <w:tcW w:w="7655" w:type="dxa"/>
          </w:tcPr>
          <w:p>
            <w:pPr>
              <w:pStyle w:val="19"/>
              <w:spacing w:line="360" w:lineRule="auto"/>
              <w:jc w:val="both"/>
              <w:rPr>
                <w:color w:val="191919" w:themeColor="background1" w:themeShade="1A"/>
                <w:sz w:val="28"/>
                <w:szCs w:val="28"/>
                <w:lang w:val="en-US"/>
              </w:rPr>
            </w:pPr>
            <w:r>
              <w:rPr>
                <w:bCs/>
                <w:color w:val="191919" w:themeColor="background1" w:themeShade="1A"/>
                <w:sz w:val="28"/>
                <w:szCs w:val="28"/>
                <w:lang w:val="en-US"/>
              </w:rPr>
              <w:t xml:space="preserve">Subject 6. Consumption patterns in the global economy </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7</w:t>
            </w:r>
          </w:p>
        </w:tc>
        <w:tc>
          <w:tcPr>
            <w:tcW w:w="7655" w:type="dxa"/>
          </w:tcPr>
          <w:p>
            <w:pPr>
              <w:pStyle w:val="19"/>
              <w:spacing w:line="360" w:lineRule="auto"/>
              <w:rPr>
                <w:color w:val="191919" w:themeColor="background1" w:themeShade="1A"/>
                <w:sz w:val="28"/>
                <w:szCs w:val="28"/>
                <w:lang w:val="en-US"/>
              </w:rPr>
            </w:pPr>
            <w:r>
              <w:rPr>
                <w:bCs/>
                <w:color w:val="191919" w:themeColor="background1" w:themeShade="1A"/>
                <w:sz w:val="28"/>
                <w:szCs w:val="28"/>
                <w:lang w:val="en-US"/>
              </w:rPr>
              <w:t>Subject 7. Global economy major problems 1</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8</w:t>
            </w:r>
          </w:p>
        </w:tc>
        <w:tc>
          <w:tcPr>
            <w:tcW w:w="7655" w:type="dxa"/>
          </w:tcPr>
          <w:p>
            <w:pPr>
              <w:spacing w:after="0" w:line="360" w:lineRule="auto"/>
              <w:jc w:val="both"/>
              <w:outlineLvl w:val="1"/>
              <w:rPr>
                <w:rFonts w:ascii="Times New Roman" w:hAnsi="Times New Roman" w:cs="Times New Roman"/>
                <w:color w:val="191919" w:themeColor="background1" w:themeShade="1A"/>
                <w:sz w:val="28"/>
                <w:szCs w:val="28"/>
                <w:lang w:val="en-US"/>
              </w:rPr>
            </w:pPr>
            <w:r>
              <w:rPr>
                <w:rFonts w:ascii="Times New Roman" w:hAnsi="Times New Roman" w:cs="Times New Roman"/>
                <w:bCs/>
                <w:color w:val="191919" w:themeColor="background1" w:themeShade="1A"/>
                <w:sz w:val="28"/>
                <w:szCs w:val="28"/>
                <w:lang w:val="en-US"/>
              </w:rPr>
              <w:t>Subject 8. Global economy major problems 2</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9</w:t>
            </w:r>
          </w:p>
        </w:tc>
        <w:tc>
          <w:tcPr>
            <w:tcW w:w="7655" w:type="dxa"/>
          </w:tcPr>
          <w:p>
            <w:pPr>
              <w:pStyle w:val="19"/>
              <w:spacing w:line="360" w:lineRule="auto"/>
              <w:jc w:val="both"/>
              <w:rPr>
                <w:color w:val="191919" w:themeColor="background1" w:themeShade="1A"/>
                <w:sz w:val="28"/>
                <w:szCs w:val="28"/>
              </w:rPr>
            </w:pPr>
            <w:r>
              <w:rPr>
                <w:bCs/>
                <w:color w:val="191919" w:themeColor="background1" w:themeShade="1A"/>
                <w:sz w:val="28"/>
                <w:szCs w:val="28"/>
                <w:lang w:val="en-US"/>
              </w:rPr>
              <w:t xml:space="preserve">Subject 9. Transnational companies </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10</w:t>
            </w:r>
          </w:p>
        </w:tc>
        <w:tc>
          <w:tcPr>
            <w:tcW w:w="7655" w:type="dxa"/>
          </w:tcPr>
          <w:p>
            <w:pPr>
              <w:pStyle w:val="19"/>
              <w:spacing w:line="360" w:lineRule="auto"/>
              <w:jc w:val="both"/>
              <w:rPr>
                <w:color w:val="191919" w:themeColor="background1" w:themeShade="1A"/>
                <w:sz w:val="28"/>
                <w:szCs w:val="28"/>
                <w:lang w:val="en-US"/>
              </w:rPr>
            </w:pPr>
            <w:r>
              <w:rPr>
                <w:bCs/>
                <w:color w:val="191919" w:themeColor="background1" w:themeShade="1A"/>
                <w:sz w:val="28"/>
                <w:szCs w:val="28"/>
                <w:lang w:val="en-US"/>
              </w:rPr>
              <w:t xml:space="preserve">Subject 10. Preferential Trade Arrangements and Economic Integration </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11</w:t>
            </w:r>
          </w:p>
        </w:tc>
        <w:tc>
          <w:tcPr>
            <w:tcW w:w="7655" w:type="dxa"/>
          </w:tcPr>
          <w:p>
            <w:pPr>
              <w:pStyle w:val="19"/>
              <w:spacing w:line="360" w:lineRule="auto"/>
              <w:jc w:val="both"/>
              <w:rPr>
                <w:color w:val="191919" w:themeColor="background1" w:themeShade="1A"/>
                <w:sz w:val="28"/>
                <w:szCs w:val="28"/>
                <w:lang w:val="en-US"/>
              </w:rPr>
            </w:pPr>
            <w:r>
              <w:rPr>
                <w:bCs/>
                <w:color w:val="191919" w:themeColor="background1" w:themeShade="1A"/>
                <w:sz w:val="28"/>
                <w:szCs w:val="28"/>
                <w:lang w:val="en-US"/>
              </w:rPr>
              <w:t xml:space="preserve">Subject 11. Money, interest rates and exchange-rates in the open economy </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12</w:t>
            </w:r>
          </w:p>
        </w:tc>
        <w:tc>
          <w:tcPr>
            <w:tcW w:w="7655" w:type="dxa"/>
          </w:tcPr>
          <w:p>
            <w:pPr>
              <w:pStyle w:val="19"/>
              <w:spacing w:line="360" w:lineRule="auto"/>
              <w:jc w:val="both"/>
              <w:rPr>
                <w:color w:val="191919" w:themeColor="background1" w:themeShade="1A"/>
                <w:sz w:val="28"/>
                <w:szCs w:val="28"/>
              </w:rPr>
            </w:pPr>
            <w:r>
              <w:rPr>
                <w:bCs/>
                <w:color w:val="191919" w:themeColor="background1" w:themeShade="1A"/>
                <w:sz w:val="28"/>
                <w:szCs w:val="28"/>
                <w:lang w:val="en-US"/>
              </w:rPr>
              <w:t xml:space="preserve">Subject 12. Global finance </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13</w:t>
            </w:r>
          </w:p>
        </w:tc>
        <w:tc>
          <w:tcPr>
            <w:tcW w:w="7655" w:type="dxa"/>
          </w:tcPr>
          <w:p>
            <w:pPr>
              <w:pStyle w:val="19"/>
              <w:spacing w:line="360" w:lineRule="auto"/>
              <w:jc w:val="both"/>
              <w:rPr>
                <w:color w:val="191919" w:themeColor="background1" w:themeShade="1A"/>
                <w:sz w:val="28"/>
                <w:szCs w:val="28"/>
                <w:lang w:val="en-US"/>
              </w:rPr>
            </w:pPr>
            <w:r>
              <w:rPr>
                <w:bCs/>
                <w:color w:val="191919" w:themeColor="background1" w:themeShade="1A"/>
                <w:sz w:val="28"/>
                <w:szCs w:val="28"/>
                <w:lang w:val="en-US"/>
              </w:rPr>
              <w:t xml:space="preserve">Subject 13. Technological progress in the global economy </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14</w:t>
            </w:r>
          </w:p>
        </w:tc>
        <w:tc>
          <w:tcPr>
            <w:tcW w:w="7655" w:type="dxa"/>
          </w:tcPr>
          <w:p>
            <w:pPr>
              <w:pStyle w:val="19"/>
              <w:spacing w:line="360" w:lineRule="auto"/>
              <w:jc w:val="both"/>
              <w:rPr>
                <w:color w:val="191919" w:themeColor="background1" w:themeShade="1A"/>
                <w:sz w:val="28"/>
                <w:szCs w:val="28"/>
              </w:rPr>
            </w:pPr>
            <w:r>
              <w:rPr>
                <w:bCs/>
                <w:color w:val="191919" w:themeColor="background1" w:themeShade="1A"/>
                <w:sz w:val="28"/>
                <w:szCs w:val="28"/>
                <w:lang w:val="en-US"/>
              </w:rPr>
              <w:t xml:space="preserve">Subject 14. Global economic governance </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5" w:type="dxa"/>
          </w:tcPr>
          <w:p>
            <w:pPr>
              <w:spacing w:after="0" w:line="36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15</w:t>
            </w:r>
          </w:p>
        </w:tc>
        <w:tc>
          <w:tcPr>
            <w:tcW w:w="7655" w:type="dxa"/>
          </w:tcPr>
          <w:p>
            <w:pPr>
              <w:pStyle w:val="19"/>
              <w:spacing w:line="360" w:lineRule="auto"/>
              <w:jc w:val="both"/>
              <w:rPr>
                <w:color w:val="191919" w:themeColor="background1" w:themeShade="1A"/>
                <w:sz w:val="28"/>
                <w:szCs w:val="28"/>
                <w:lang w:val="en-US"/>
              </w:rPr>
            </w:pPr>
            <w:r>
              <w:rPr>
                <w:bCs/>
                <w:color w:val="191919" w:themeColor="background1" w:themeShade="1A"/>
                <w:sz w:val="28"/>
                <w:szCs w:val="28"/>
                <w:lang w:val="en-US"/>
              </w:rPr>
              <w:t xml:space="preserve">Subject 15. Environmental and cultural issues   </w:t>
            </w:r>
          </w:p>
        </w:tc>
        <w:tc>
          <w:tcPr>
            <w:tcW w:w="1241" w:type="dxa"/>
          </w:tcPr>
          <w:p>
            <w:pPr>
              <w:spacing w:after="0" w:line="360" w:lineRule="auto"/>
              <w:jc w:val="right"/>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107</w:t>
            </w:r>
          </w:p>
        </w:tc>
      </w:tr>
    </w:tbl>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pStyle w:val="10"/>
        <w:shd w:val="clear" w:color="auto" w:fill="FFFFFF"/>
        <w:spacing w:before="0" w:beforeAutospacing="0" w:after="0" w:afterAutospacing="0"/>
        <w:jc w:val="center"/>
        <w:rPr>
          <w:b/>
          <w:bCs/>
          <w:color w:val="191919" w:themeColor="background1" w:themeShade="1A"/>
          <w:sz w:val="28"/>
          <w:szCs w:val="28"/>
          <w:lang w:val="en-US"/>
        </w:rPr>
      </w:pPr>
      <w:r>
        <w:rPr>
          <w:b/>
          <w:bCs/>
          <w:color w:val="191919" w:themeColor="background1" w:themeShade="1A"/>
          <w:sz w:val="28"/>
          <w:szCs w:val="28"/>
          <w:lang w:val="en-US"/>
        </w:rPr>
        <w:t>Introduction</w:t>
      </w:r>
    </w:p>
    <w:p>
      <w:pPr>
        <w:pStyle w:val="10"/>
        <w:shd w:val="clear" w:color="auto" w:fill="FFFFFF"/>
        <w:spacing w:before="0" w:beforeAutospacing="0" w:after="0" w:afterAutospacing="0"/>
        <w:ind w:firstLine="567"/>
        <w:jc w:val="center"/>
        <w:rPr>
          <w:color w:val="191919" w:themeColor="background1" w:themeShade="1A"/>
          <w:sz w:val="28"/>
          <w:szCs w:val="28"/>
          <w:lang w:val="en-US"/>
        </w:rPr>
      </w:pPr>
    </w:p>
    <w:p>
      <w:pPr>
        <w:widowControl w:val="0"/>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Business in a Global Economy provides PhD students with an understanding of how and why businesses choose to expand their operations into other countries. This course exposes PhD students to the unique challenges facing firms doing business internationally, and to the potential opportunities available to those businesses. Building on concepts introduced in the perquisite of Principles of Finance, Business in a Global Economy broadens PhD students’ understanding of how businesses operate, grow, and thrive in our ever-changing world.  </w:t>
      </w:r>
    </w:p>
    <w:p>
      <w:pPr>
        <w:pStyle w:val="19"/>
        <w:ind w:firstLine="567"/>
        <w:jc w:val="both"/>
        <w:rPr>
          <w:color w:val="191919" w:themeColor="background1" w:themeShade="1A"/>
          <w:sz w:val="28"/>
          <w:szCs w:val="28"/>
          <w:highlight w:val="yellow"/>
          <w:lang w:val="en-US"/>
        </w:rPr>
      </w:pPr>
      <w:r>
        <w:rPr>
          <w:color w:val="191919" w:themeColor="background1" w:themeShade="1A"/>
          <w:sz w:val="28"/>
          <w:szCs w:val="28"/>
          <w:lang w:val="en-US"/>
        </w:rPr>
        <w:t>The main goal of the course is to build up the understanding of the theory and policy of the contemporary global economics. The focus of the course is not only on traditional theories of international economics, i.e. on international trade, finance and growth, but on modern trends of economic development and on the latest empirical research in the most significant spheres of the global economics.</w:t>
      </w:r>
    </w:p>
    <w:p>
      <w:pPr>
        <w:widowControl w:val="0"/>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Also, the course purpose is to create the ordered system of knowledge of theoretical, methodological and practical questions of the effective business in the Global Economy and Policy.</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Tasks to study the discipline: </w:t>
      </w:r>
    </w:p>
    <w:p>
      <w:pPr>
        <w:numPr>
          <w:ilvl w:val="0"/>
          <w:numId w:val="1"/>
        </w:numPr>
        <w:tabs>
          <w:tab w:val="left" w:pos="567"/>
        </w:tabs>
        <w:autoSpaceDE w:val="0"/>
        <w:autoSpaceDN w:val="0"/>
        <w:adjustRightInd w:val="0"/>
        <w:spacing w:after="0" w:line="240" w:lineRule="auto"/>
        <w:ind w:left="0" w:firstLine="0"/>
        <w:jc w:val="both"/>
        <w:rPr>
          <w:rFonts w:ascii="Times New Roman" w:hAnsi="Times New Roman" w:cs="Times New Roman"/>
          <w:color w:val="191919" w:themeColor="background1" w:themeShade="1A"/>
          <w:sz w:val="28"/>
          <w:szCs w:val="28"/>
          <w:lang w:val="en-US" w:eastAsia="ru-RU"/>
        </w:rPr>
      </w:pPr>
      <w:r>
        <w:rPr>
          <w:rFonts w:ascii="Times New Roman" w:hAnsi="Times New Roman" w:cs="Times New Roman"/>
          <w:color w:val="191919" w:themeColor="background1" w:themeShade="1A"/>
          <w:sz w:val="28"/>
          <w:szCs w:val="28"/>
          <w:lang w:val="en-US" w:eastAsia="ru-RU"/>
        </w:rPr>
        <w:t>To consider the global economics concepts and terminology such as comparative advantage, terms of trade, balance of payments, etc.</w:t>
      </w:r>
    </w:p>
    <w:p>
      <w:pPr>
        <w:numPr>
          <w:ilvl w:val="0"/>
          <w:numId w:val="1"/>
        </w:numPr>
        <w:tabs>
          <w:tab w:val="left" w:pos="567"/>
        </w:tabs>
        <w:autoSpaceDE w:val="0"/>
        <w:autoSpaceDN w:val="0"/>
        <w:adjustRightInd w:val="0"/>
        <w:spacing w:after="0" w:line="240" w:lineRule="auto"/>
        <w:ind w:left="0" w:firstLine="0"/>
        <w:rPr>
          <w:rFonts w:ascii="Times New Roman" w:hAnsi="Times New Roman" w:cs="Times New Roman"/>
          <w:color w:val="191919" w:themeColor="background1" w:themeShade="1A"/>
          <w:sz w:val="28"/>
          <w:szCs w:val="28"/>
          <w:lang w:val="en-US" w:eastAsia="ru-RU"/>
        </w:rPr>
      </w:pPr>
      <w:r>
        <w:rPr>
          <w:rFonts w:ascii="Times New Roman" w:hAnsi="Times New Roman" w:cs="Times New Roman"/>
          <w:color w:val="191919" w:themeColor="background1" w:themeShade="1A"/>
          <w:sz w:val="28"/>
          <w:szCs w:val="28"/>
          <w:lang w:val="en-US" w:eastAsia="ru-RU"/>
        </w:rPr>
        <w:t>To analyze the strengths and weaknesses of regional trade agreements.</w:t>
      </w:r>
    </w:p>
    <w:p>
      <w:pPr>
        <w:numPr>
          <w:ilvl w:val="0"/>
          <w:numId w:val="1"/>
        </w:numPr>
        <w:tabs>
          <w:tab w:val="left" w:pos="567"/>
        </w:tabs>
        <w:autoSpaceDE w:val="0"/>
        <w:autoSpaceDN w:val="0"/>
        <w:adjustRightInd w:val="0"/>
        <w:spacing w:after="0" w:line="240" w:lineRule="auto"/>
        <w:ind w:left="0" w:firstLine="0"/>
        <w:jc w:val="both"/>
        <w:rPr>
          <w:rFonts w:ascii="Times New Roman" w:hAnsi="Times New Roman" w:cs="Times New Roman"/>
          <w:color w:val="191919" w:themeColor="background1" w:themeShade="1A"/>
          <w:sz w:val="28"/>
          <w:szCs w:val="28"/>
          <w:lang w:val="en-US" w:eastAsia="ru-RU"/>
        </w:rPr>
      </w:pPr>
      <w:r>
        <w:rPr>
          <w:rFonts w:ascii="Times New Roman" w:hAnsi="Times New Roman" w:eastAsia="SymbolMT" w:cs="Times New Roman"/>
          <w:color w:val="191919" w:themeColor="background1" w:themeShade="1A"/>
          <w:sz w:val="28"/>
          <w:szCs w:val="28"/>
          <w:lang w:val="en-US" w:eastAsia="ru-RU"/>
        </w:rPr>
        <w:t xml:space="preserve">To </w:t>
      </w:r>
      <w:r>
        <w:rPr>
          <w:rFonts w:ascii="Times New Roman" w:hAnsi="Times New Roman" w:cs="Times New Roman"/>
          <w:color w:val="191919" w:themeColor="background1" w:themeShade="1A"/>
          <w:sz w:val="28"/>
          <w:szCs w:val="28"/>
          <w:lang w:val="en-US" w:eastAsia="ru-RU"/>
        </w:rPr>
        <w:t>become familiar with the functions of the various international organizations such as the International Monetary Fund (IMF), the World Trade Organization (WTO) and the World Bank.</w:t>
      </w:r>
    </w:p>
    <w:p>
      <w:pPr>
        <w:numPr>
          <w:ilvl w:val="0"/>
          <w:numId w:val="1"/>
        </w:numPr>
        <w:tabs>
          <w:tab w:val="left" w:pos="567"/>
        </w:tabs>
        <w:autoSpaceDE w:val="0"/>
        <w:autoSpaceDN w:val="0"/>
        <w:adjustRightInd w:val="0"/>
        <w:spacing w:after="0" w:line="240" w:lineRule="auto"/>
        <w:ind w:left="0" w:firstLine="0"/>
        <w:jc w:val="both"/>
        <w:rPr>
          <w:rFonts w:ascii="Times New Roman" w:hAnsi="Times New Roman" w:cs="Times New Roman"/>
          <w:color w:val="191919" w:themeColor="background1" w:themeShade="1A"/>
          <w:sz w:val="28"/>
          <w:szCs w:val="28"/>
          <w:lang w:val="en-US" w:eastAsia="ru-RU"/>
        </w:rPr>
      </w:pPr>
      <w:r>
        <w:rPr>
          <w:rFonts w:ascii="Times New Roman" w:hAnsi="Times New Roman" w:cs="Times New Roman"/>
          <w:color w:val="191919" w:themeColor="background1" w:themeShade="1A"/>
          <w:sz w:val="28"/>
          <w:szCs w:val="28"/>
          <w:lang w:val="en-US" w:eastAsia="ru-RU"/>
        </w:rPr>
        <w:t>To analyze how exchange rates can adjust trade deficits and surpluses.</w:t>
      </w:r>
    </w:p>
    <w:p>
      <w:pPr>
        <w:numPr>
          <w:ilvl w:val="0"/>
          <w:numId w:val="1"/>
        </w:numPr>
        <w:tabs>
          <w:tab w:val="left" w:pos="567"/>
        </w:tabs>
        <w:autoSpaceDE w:val="0"/>
        <w:autoSpaceDN w:val="0"/>
        <w:adjustRightInd w:val="0"/>
        <w:spacing w:after="0" w:line="240" w:lineRule="auto"/>
        <w:ind w:left="0" w:firstLine="0"/>
        <w:jc w:val="both"/>
        <w:rPr>
          <w:rFonts w:ascii="Times New Roman" w:hAnsi="Times New Roman" w:cs="Times New Roman"/>
          <w:color w:val="191919" w:themeColor="background1" w:themeShade="1A"/>
          <w:sz w:val="28"/>
          <w:szCs w:val="28"/>
          <w:lang w:val="en-US" w:eastAsia="ru-RU"/>
        </w:rPr>
      </w:pPr>
      <w:r>
        <w:rPr>
          <w:rFonts w:ascii="Times New Roman" w:hAnsi="Times New Roman" w:eastAsia="SymbolMT" w:cs="Times New Roman"/>
          <w:color w:val="191919" w:themeColor="background1" w:themeShade="1A"/>
          <w:sz w:val="28"/>
          <w:szCs w:val="28"/>
          <w:lang w:val="en-US" w:eastAsia="ru-RU"/>
        </w:rPr>
        <w:t>T</w:t>
      </w:r>
      <w:r>
        <w:rPr>
          <w:rFonts w:ascii="Times New Roman" w:hAnsi="Times New Roman" w:cs="Times New Roman"/>
          <w:color w:val="191919" w:themeColor="background1" w:themeShade="1A"/>
          <w:sz w:val="28"/>
          <w:szCs w:val="28"/>
          <w:lang w:val="en-US" w:eastAsia="ru-RU"/>
        </w:rPr>
        <w:t>o study basic economic theories which explain the movement of goods, services, and capital between and among countries.</w:t>
      </w:r>
    </w:p>
    <w:p>
      <w:pPr>
        <w:numPr>
          <w:ilvl w:val="0"/>
          <w:numId w:val="1"/>
        </w:numPr>
        <w:tabs>
          <w:tab w:val="left" w:pos="567"/>
        </w:tabs>
        <w:autoSpaceDE w:val="0"/>
        <w:autoSpaceDN w:val="0"/>
        <w:adjustRightInd w:val="0"/>
        <w:spacing w:after="0" w:line="240" w:lineRule="auto"/>
        <w:ind w:left="0" w:firstLine="0"/>
        <w:rPr>
          <w:rFonts w:ascii="Times New Roman" w:hAnsi="Times New Roman" w:cs="Times New Roman"/>
          <w:color w:val="191919" w:themeColor="background1" w:themeShade="1A"/>
          <w:sz w:val="28"/>
          <w:szCs w:val="28"/>
          <w:lang w:val="en-US" w:eastAsia="ru-RU"/>
        </w:rPr>
      </w:pPr>
      <w:r>
        <w:rPr>
          <w:rFonts w:ascii="Times New Roman" w:hAnsi="Times New Roman" w:eastAsia="SymbolMT" w:cs="Times New Roman"/>
          <w:color w:val="191919" w:themeColor="background1" w:themeShade="1A"/>
          <w:sz w:val="28"/>
          <w:szCs w:val="28"/>
          <w:lang w:val="en-US" w:eastAsia="ru-RU"/>
        </w:rPr>
        <w:t xml:space="preserve">To </w:t>
      </w:r>
      <w:r>
        <w:rPr>
          <w:rFonts w:ascii="Times New Roman" w:hAnsi="Times New Roman" w:cs="Times New Roman"/>
          <w:color w:val="191919" w:themeColor="background1" w:themeShade="1A"/>
          <w:sz w:val="28"/>
          <w:szCs w:val="28"/>
          <w:lang w:val="en-US" w:eastAsia="ru-RU"/>
        </w:rPr>
        <w:t>improve their analytical skills, writing skills and oral communication skills.</w:t>
      </w:r>
    </w:p>
    <w:p>
      <w:pPr>
        <w:numPr>
          <w:ilvl w:val="0"/>
          <w:numId w:val="1"/>
        </w:numPr>
        <w:tabs>
          <w:tab w:val="left" w:pos="567"/>
        </w:tabs>
        <w:suppressAutoHyphens/>
        <w:spacing w:after="0" w:line="240" w:lineRule="auto"/>
        <w:ind w:left="0" w:firstLine="0"/>
        <w:jc w:val="both"/>
        <w:rPr>
          <w:rFonts w:ascii="Times New Roman" w:hAnsi="Times New Roman" w:cs="Times New Roman"/>
          <w:color w:val="191919" w:themeColor="background1" w:themeShade="1A"/>
          <w:sz w:val="28"/>
          <w:szCs w:val="28"/>
          <w:lang w:val="en-US" w:eastAsia="ru-RU"/>
        </w:rPr>
      </w:pPr>
      <w:r>
        <w:rPr>
          <w:rFonts w:ascii="Times New Roman" w:hAnsi="Times New Roman" w:eastAsia="SymbolMT" w:cs="Times New Roman"/>
          <w:color w:val="191919" w:themeColor="background1" w:themeShade="1A"/>
          <w:sz w:val="28"/>
          <w:szCs w:val="28"/>
          <w:lang w:val="en-US" w:eastAsia="ru-RU"/>
        </w:rPr>
        <w:t xml:space="preserve">To </w:t>
      </w:r>
      <w:r>
        <w:rPr>
          <w:rFonts w:ascii="Times New Roman" w:hAnsi="Times New Roman" w:cs="Times New Roman"/>
          <w:color w:val="191919" w:themeColor="background1" w:themeShade="1A"/>
          <w:sz w:val="28"/>
          <w:szCs w:val="28"/>
          <w:lang w:val="en-US" w:eastAsia="ru-RU"/>
        </w:rPr>
        <w:t>acquaint students with a variety of international data sources.</w:t>
      </w: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rPr>
          <w:color w:val="191919" w:themeColor="background1" w:themeShade="1A"/>
          <w:lang w:val="en-US"/>
        </w:rPr>
      </w:pPr>
    </w:p>
    <w:p>
      <w:pPr>
        <w:pStyle w:val="19"/>
        <w:jc w:val="both"/>
        <w:rPr>
          <w:b/>
          <w:bCs/>
          <w:color w:val="191919" w:themeColor="background1" w:themeShade="1A"/>
          <w:sz w:val="28"/>
          <w:szCs w:val="28"/>
          <w:lang w:val="en-US"/>
        </w:rPr>
      </w:pPr>
      <w:r>
        <w:rPr>
          <w:b/>
          <w:color w:val="191919" w:themeColor="background1" w:themeShade="1A"/>
          <w:sz w:val="28"/>
          <w:szCs w:val="28"/>
          <w:lang w:val="en-US"/>
        </w:rPr>
        <w:t xml:space="preserve">Lecture 1. </w:t>
      </w:r>
      <w:r>
        <w:rPr>
          <w:b/>
          <w:bCs/>
          <w:color w:val="191919" w:themeColor="background1" w:themeShade="1A"/>
          <w:sz w:val="28"/>
          <w:szCs w:val="28"/>
          <w:lang w:val="en-US"/>
        </w:rPr>
        <w:t xml:space="preserve">Introduction </w:t>
      </w:r>
      <w:r>
        <w:rPr>
          <w:b/>
          <w:color w:val="191919" w:themeColor="background1" w:themeShade="1A"/>
          <w:kern w:val="36"/>
          <w:sz w:val="28"/>
          <w:szCs w:val="28"/>
          <w:lang w:val="en-US"/>
        </w:rPr>
        <w:t>to the Global Economy</w:t>
      </w:r>
    </w:p>
    <w:p>
      <w:pPr>
        <w:pStyle w:val="19"/>
        <w:numPr>
          <w:ilvl w:val="0"/>
          <w:numId w:val="2"/>
        </w:numPr>
        <w:tabs>
          <w:tab w:val="left" w:pos="426"/>
        </w:tabs>
        <w:ind w:left="0" w:firstLine="0"/>
        <w:jc w:val="both"/>
        <w:rPr>
          <w:color w:val="191919" w:themeColor="background1" w:themeShade="1A"/>
          <w:sz w:val="28"/>
          <w:szCs w:val="28"/>
          <w:lang w:val="en-US"/>
        </w:rPr>
      </w:pPr>
      <w:r>
        <w:rPr>
          <w:color w:val="191919" w:themeColor="background1" w:themeShade="1A"/>
          <w:sz w:val="28"/>
          <w:szCs w:val="28"/>
          <w:lang w:val="en-US"/>
        </w:rPr>
        <w:t xml:space="preserve">Intro to the global economics </w:t>
      </w:r>
    </w:p>
    <w:p>
      <w:pPr>
        <w:pStyle w:val="19"/>
        <w:numPr>
          <w:ilvl w:val="0"/>
          <w:numId w:val="2"/>
        </w:numPr>
        <w:tabs>
          <w:tab w:val="left" w:pos="426"/>
        </w:tabs>
        <w:ind w:left="0" w:firstLine="0"/>
        <w:jc w:val="both"/>
        <w:rPr>
          <w:color w:val="191919" w:themeColor="background1" w:themeShade="1A"/>
          <w:sz w:val="28"/>
          <w:szCs w:val="28"/>
          <w:lang w:val="en-US"/>
        </w:rPr>
      </w:pPr>
      <w:r>
        <w:rPr>
          <w:color w:val="191919" w:themeColor="background1" w:themeShade="1A"/>
          <w:sz w:val="28"/>
          <w:szCs w:val="28"/>
          <w:lang w:val="en-US"/>
        </w:rPr>
        <w:t xml:space="preserve">What is global economics about? </w:t>
      </w:r>
    </w:p>
    <w:p>
      <w:pPr>
        <w:pStyle w:val="19"/>
        <w:numPr>
          <w:ilvl w:val="0"/>
          <w:numId w:val="2"/>
        </w:numPr>
        <w:tabs>
          <w:tab w:val="left" w:pos="426"/>
        </w:tabs>
        <w:ind w:left="0" w:firstLine="0"/>
        <w:jc w:val="both"/>
        <w:rPr>
          <w:color w:val="191919" w:themeColor="background1" w:themeShade="1A"/>
          <w:sz w:val="28"/>
          <w:szCs w:val="28"/>
          <w:lang w:val="en-US"/>
        </w:rPr>
      </w:pPr>
      <w:r>
        <w:rPr>
          <w:color w:val="191919" w:themeColor="background1" w:themeShade="1A"/>
          <w:sz w:val="28"/>
          <w:szCs w:val="28"/>
          <w:lang w:val="en-US"/>
        </w:rPr>
        <w:t xml:space="preserve">Definitions and the origins. </w:t>
      </w:r>
    </w:p>
    <w:p>
      <w:pPr>
        <w:pStyle w:val="18"/>
        <w:numPr>
          <w:ilvl w:val="0"/>
          <w:numId w:val="2"/>
        </w:numPr>
        <w:shd w:val="clear" w:color="auto" w:fill="FFFFFF"/>
        <w:tabs>
          <w:tab w:val="left" w:pos="426"/>
        </w:tabs>
        <w:spacing w:after="0" w:line="240" w:lineRule="auto"/>
        <w:ind w:left="0" w:firstLine="0"/>
        <w:jc w:val="both"/>
        <w:outlineLvl w:val="0"/>
        <w:rPr>
          <w:rFonts w:ascii="Times New Roman" w:hAnsi="Times New Roman" w:eastAsia="Times New Roman" w:cs="Times New Roman"/>
          <w:b/>
          <w:color w:val="191919" w:themeColor="background1" w:themeShade="1A"/>
          <w:kern w:val="36"/>
          <w:sz w:val="28"/>
          <w:szCs w:val="28"/>
          <w:lang w:val="en-US" w:eastAsia="ru-RU"/>
        </w:rPr>
      </w:pPr>
      <w:r>
        <w:rPr>
          <w:rFonts w:ascii="Times New Roman" w:hAnsi="Times New Roman" w:cs="Times New Roman"/>
          <w:color w:val="191919" w:themeColor="background1" w:themeShade="1A"/>
          <w:sz w:val="28"/>
          <w:szCs w:val="28"/>
          <w:lang w:val="en-US"/>
        </w:rPr>
        <w:t>Objective economic necessity to be part of the global economy.</w:t>
      </w:r>
    </w:p>
    <w:p>
      <w:pPr>
        <w:shd w:val="clear" w:color="auto" w:fill="FFFFFF"/>
        <w:spacing w:after="0" w:line="240" w:lineRule="auto"/>
        <w:jc w:val="both"/>
        <w:outlineLvl w:val="0"/>
        <w:rPr>
          <w:rFonts w:ascii="Times New Roman" w:hAnsi="Times New Roman" w:eastAsia="Times New Roman" w:cs="Times New Roman"/>
          <w:b/>
          <w:color w:val="191919" w:themeColor="background1" w:themeShade="1A"/>
          <w:kern w:val="36"/>
          <w:sz w:val="28"/>
          <w:szCs w:val="28"/>
          <w:lang w:val="en-US" w:eastAsia="ru-RU"/>
        </w:rPr>
      </w:pPr>
    </w:p>
    <w:p>
      <w:pPr>
        <w:shd w:val="clear" w:color="auto" w:fill="FFFFFF"/>
        <w:spacing w:after="0" w:line="240" w:lineRule="auto"/>
        <w:jc w:val="both"/>
        <w:outlineLvl w:val="0"/>
        <w:rPr>
          <w:rFonts w:ascii="Times New Roman" w:hAnsi="Times New Roman" w:eastAsia="Times New Roman" w:cs="Times New Roman"/>
          <w:b/>
          <w:color w:val="191919" w:themeColor="background1" w:themeShade="1A"/>
          <w:kern w:val="36"/>
          <w:sz w:val="28"/>
          <w:szCs w:val="28"/>
          <w:lang w:val="en-US" w:eastAsia="ru-RU"/>
        </w:rPr>
      </w:pPr>
      <w:r>
        <w:rPr>
          <w:rFonts w:ascii="Times New Roman" w:hAnsi="Times New Roman" w:eastAsia="Times New Roman" w:cs="Times New Roman"/>
          <w:b/>
          <w:color w:val="191919" w:themeColor="background1" w:themeShade="1A"/>
          <w:kern w:val="36"/>
          <w:sz w:val="28"/>
          <w:szCs w:val="28"/>
          <w:lang w:val="en-US" w:eastAsia="ru-RU"/>
        </w:rPr>
        <w:t>1.Introduction to the Global Economy</w:t>
      </w:r>
    </w:p>
    <w:p>
      <w:pPr>
        <w:spacing w:after="0" w:line="240" w:lineRule="auto"/>
        <w:ind w:firstLine="426"/>
        <w:jc w:val="both"/>
        <w:rPr>
          <w:rFonts w:ascii="Times New Roman" w:hAnsi="Times New Roman" w:cs="Times New Roman"/>
          <w:color w:val="191919" w:themeColor="background1" w:themeShade="1A"/>
          <w:sz w:val="28"/>
          <w:szCs w:val="28"/>
          <w:shd w:val="clear" w:color="auto" w:fill="FFFFFF"/>
          <w:lang w:val="en-US"/>
        </w:rPr>
      </w:pPr>
      <w:r>
        <w:rPr>
          <w:rFonts w:ascii="Times New Roman" w:hAnsi="Times New Roman" w:cs="Times New Roman"/>
          <w:color w:val="191919" w:themeColor="background1" w:themeShade="1A"/>
          <w:sz w:val="28"/>
          <w:szCs w:val="28"/>
          <w:shd w:val="clear" w:color="auto" w:fill="FFFFFF"/>
          <w:lang w:val="en-US"/>
        </w:rPr>
        <w:t xml:space="preserve">Globalization has become the buzzword for the last two to three decades. This course, however, examines the development of the global market economy as an ongoing process over many centuries. It is intended for students without any economics background and explores the various forces that have led to the increasing integration into the global economy of all the countries on our itinerary. Basic macro and micro economic tools are introduced in order to scrutinize both the benefits and the costs that have characterized this process. Towards the end of the semester, special attention will be focused on investigating the serious threats that the international community continues to face today, such as financial instability, social and economic inequality, and environmental degradation both within countries and on a global scale. These challenges raise the question whether a global market economy can only function adequately under the governance of an appropriate international organization, whether such an institution is feasible, and what it would have to look like. </w:t>
      </w:r>
    </w:p>
    <w:p>
      <w:pPr>
        <w:shd w:val="clear" w:color="auto" w:fill="FFFFFF"/>
        <w:spacing w:after="0" w:line="240" w:lineRule="auto"/>
        <w:ind w:firstLine="426"/>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This module is intended to discuss the salient aspects of the global economy including the structural features and the way in which several competing trends and factors influence the workings of the global economy. For instance, the global economy is dominated by the United States, Europe and China in the current decade with the balance of power likely to shift towards China in the coming years.</w:t>
      </w:r>
    </w:p>
    <w:p>
      <w:pPr>
        <w:shd w:val="clear" w:color="auto" w:fill="FFFFFF"/>
        <w:spacing w:after="0" w:line="240" w:lineRule="auto"/>
        <w:ind w:firstLine="426"/>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Though the United States is in deep recession, there are many optimistic experts who aver that the country can pull through its worst recession since the Great Depression and reinvent itself and rejuvenate itself</w:t>
      </w:r>
      <w:r>
        <w:rPr>
          <w:rFonts w:ascii="Times New Roman" w:hAnsi="Times New Roman" w:eastAsia="Times New Roman" w:cs="Times New Roman"/>
          <w:color w:val="191919" w:themeColor="background1" w:themeShade="1A"/>
          <w:sz w:val="28"/>
          <w:szCs w:val="28"/>
          <w:lang w:val="en-US" w:eastAsia="ru-RU"/>
        </w:rPr>
        <w:t>. Of course, Europe remains stuck in sovereign debt crises and deleveraging brought upon due to excessive debt and fiscal profligacy along with loose monetary policies. On the other hand, China is undergoing a structural shift in the way its economy is ordered with more emphasis on domestic consumption driven growth instead of just relying on exports alone.</w:t>
      </w:r>
    </w:p>
    <w:p>
      <w:pPr>
        <w:shd w:val="clear" w:color="auto" w:fill="FFFFFF"/>
        <w:spacing w:after="0" w:line="240" w:lineRule="auto"/>
        <w:ind w:firstLine="426"/>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The present state of the global economy has meant that other emerging economies like India, South Africa and Brazil can hope to grow at moderately high levels if the current projections are anything to go by</w:t>
      </w:r>
      <w:r>
        <w:rPr>
          <w:rFonts w:ascii="Times New Roman" w:hAnsi="Times New Roman" w:eastAsia="Times New Roman" w:cs="Times New Roman"/>
          <w:color w:val="191919" w:themeColor="background1" w:themeShade="1A"/>
          <w:sz w:val="28"/>
          <w:szCs w:val="28"/>
          <w:lang w:val="en-US" w:eastAsia="ru-RU"/>
        </w:rPr>
        <w:t>. However, what can upset the calculations of all these countries is the fact that for the last four years, most countries in the world have relied on lose money or in other words, printing money to stimulate growth. This leads to inflation in the absence of the real economy growing and hence, central bankers in most countries in the world are apprehensive about the effect of inflation. This is the primary agenda behind the tight monetary policy that has been followed in many countries including India.</w:t>
      </w:r>
    </w:p>
    <w:p>
      <w:pPr>
        <w:shd w:val="clear" w:color="auto" w:fill="FFFFFF"/>
        <w:spacing w:after="0" w:line="240" w:lineRule="auto"/>
        <w:ind w:firstLine="426"/>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However, the United States and China are nowhere near tightening their purse strings and on the other hand, they have embarked on a high stimulus driven growth which means that pretty soon they would have to deal with the problem of inflation. Further, since the Dollar is the reserve currency and China has humungous reserves of Dollars, both these countries can afford to embark on stimulus since the rest of the world would continue to trade in Dollars which means that for the US, they can print as much as they can and for China they can use their reserves in any way that they deem fit.</w:t>
      </w:r>
    </w:p>
    <w:p>
      <w:pPr>
        <w:pStyle w:val="10"/>
        <w:shd w:val="clear" w:color="auto" w:fill="FFFFFF"/>
        <w:spacing w:before="0" w:beforeAutospacing="0" w:after="0" w:afterAutospacing="0"/>
        <w:ind w:firstLine="426"/>
        <w:jc w:val="both"/>
        <w:rPr>
          <w:color w:val="191919" w:themeColor="background1" w:themeShade="1A"/>
          <w:sz w:val="28"/>
          <w:szCs w:val="28"/>
          <w:lang w:val="en-US"/>
        </w:rPr>
      </w:pPr>
      <w:r>
        <w:rPr>
          <w:bCs/>
          <w:color w:val="191919" w:themeColor="background1" w:themeShade="1A"/>
          <w:sz w:val="28"/>
          <w:szCs w:val="28"/>
          <w:lang w:val="en-US"/>
        </w:rPr>
        <w:t>One country that has managed the best of both worlds is Germany</w:t>
      </w:r>
      <w:r>
        <w:rPr>
          <w:color w:val="191919" w:themeColor="background1" w:themeShade="1A"/>
          <w:sz w:val="28"/>
          <w:szCs w:val="28"/>
          <w:lang w:val="en-US"/>
        </w:rPr>
        <w:t xml:space="preserve"> which because of its high productivity and export driven growth has managed to outperform nearly every other economy in the world. However, the ongoing sovereign debt crisis in Europe has cast a shadow on Germany’s ability to finance the excesses of the other European countries. Hence, the situation needs to be keenly watched for the way in which Germany and the Eurozone would handle the crisis. </w:t>
      </w:r>
    </w:p>
    <w:p>
      <w:pPr>
        <w:shd w:val="clear" w:color="auto" w:fill="FFFFFF"/>
        <w:spacing w:after="0" w:line="240" w:lineRule="auto"/>
        <w:jc w:val="both"/>
        <w:outlineLvl w:val="0"/>
        <w:rPr>
          <w:rFonts w:ascii="Times New Roman" w:hAnsi="Times New Roman" w:eastAsia="Times New Roman" w:cs="Times New Roman"/>
          <w:b/>
          <w:color w:val="191919" w:themeColor="background1" w:themeShade="1A"/>
          <w:kern w:val="36"/>
          <w:sz w:val="28"/>
          <w:szCs w:val="28"/>
          <w:lang w:val="en-US" w:eastAsia="ru-RU"/>
        </w:rPr>
      </w:pPr>
    </w:p>
    <w:p>
      <w:pPr>
        <w:shd w:val="clear" w:color="auto" w:fill="FFFFFF"/>
        <w:spacing w:after="0" w:line="240" w:lineRule="auto"/>
        <w:jc w:val="both"/>
        <w:outlineLvl w:val="0"/>
        <w:rPr>
          <w:rFonts w:ascii="Times New Roman" w:hAnsi="Times New Roman" w:eastAsia="Times New Roman" w:cs="Times New Roman"/>
          <w:b/>
          <w:color w:val="191919" w:themeColor="background1" w:themeShade="1A"/>
          <w:kern w:val="36"/>
          <w:sz w:val="28"/>
          <w:szCs w:val="28"/>
          <w:lang w:val="en-US" w:eastAsia="ru-RU"/>
        </w:rPr>
      </w:pPr>
      <w:r>
        <w:rPr>
          <w:rFonts w:ascii="Times New Roman" w:hAnsi="Times New Roman" w:eastAsia="Times New Roman" w:cs="Times New Roman"/>
          <w:b/>
          <w:color w:val="191919" w:themeColor="background1" w:themeShade="1A"/>
          <w:kern w:val="36"/>
          <w:sz w:val="28"/>
          <w:szCs w:val="28"/>
          <w:lang w:val="en-US" w:eastAsia="ru-RU"/>
        </w:rPr>
        <w:t>2. What is global economics about?</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fldChar w:fldCharType="begin"/>
      </w:r>
      <w:r>
        <w:instrText xml:space="preserve"> HYPERLINK "https://www.encyclopedia.com/social-sciences-and-law/economics-business-and-labor/economics-terms-and-concepts/global-economy" </w:instrText>
      </w:r>
      <w:r>
        <w:fldChar w:fldCharType="separate"/>
      </w:r>
      <w:r>
        <w:rPr>
          <w:rFonts w:ascii="Times New Roman" w:hAnsi="Times New Roman" w:eastAsia="Times New Roman" w:cs="Times New Roman"/>
          <w:color w:val="191919" w:themeColor="background1" w:themeShade="1A"/>
          <w:sz w:val="28"/>
          <w:szCs w:val="28"/>
          <w:lang w:val="en-US" w:eastAsia="ru-RU"/>
        </w:rPr>
        <w:t>Global economy</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is the exchange of goods and services integrated into a huge single global market. It is virtually a world without borders, inhabited by marketing individuals and/or companies who have joined the geographical world with the intent of conducting research and development and making sales.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International trade permits countries to specialize in the resources they have. Countries benefit by producing goods and services they can provide most cheaply and by buying the goods and services other countries can provide most cheaply. International trade makes it possible for more goods to be produced and for more human wants to be satisfied than if every country tries by itself to produce everything it needs.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In the days of Scottish economist </w:t>
      </w:r>
      <w:r>
        <w:fldChar w:fldCharType="begin"/>
      </w:r>
      <w:r>
        <w:instrText xml:space="preserve"> HYPERLINK "https://www.encyclopedia.com/people/social-sciences-and-law/economics-biographies/adam-smith" </w:instrText>
      </w:r>
      <w:r>
        <w:fldChar w:fldCharType="separate"/>
      </w:r>
      <w:r>
        <w:rPr>
          <w:rFonts w:ascii="Times New Roman" w:hAnsi="Times New Roman" w:eastAsia="Times New Roman" w:cs="Times New Roman"/>
          <w:color w:val="191919" w:themeColor="background1" w:themeShade="1A"/>
          <w:sz w:val="28"/>
          <w:szCs w:val="28"/>
          <w:lang w:val="en-US" w:eastAsia="ru-RU"/>
        </w:rPr>
        <w:t>Adam Smith</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(1723–1790), if a merchant wanted to trade a lot of wool for a case of port wine, the communication of that intent would require weeks. Sending a message to someone in </w:t>
      </w:r>
      <w:r>
        <w:fldChar w:fldCharType="begin"/>
      </w:r>
      <w:r>
        <w:instrText xml:space="preserve"> HYPERLINK "https://www.encyclopedia.com/places/asia/indian-political-geography/india" </w:instrText>
      </w:r>
      <w:r>
        <w:fldChar w:fldCharType="separate"/>
      </w:r>
      <w:r>
        <w:rPr>
          <w:rFonts w:ascii="Times New Roman" w:hAnsi="Times New Roman" w:eastAsia="Times New Roman" w:cs="Times New Roman"/>
          <w:color w:val="191919" w:themeColor="background1" w:themeShade="1A"/>
          <w:sz w:val="28"/>
          <w:szCs w:val="28"/>
          <w:lang w:val="en-US" w:eastAsia="ru-RU"/>
        </w:rPr>
        <w:t>India</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took months. Such circumstances lent themselves to fragmented and individualized markets run by family members or close friends. These industry managers were trusted to make decisions in the best interests of the company because no rapid means of communicating existed. The opportunity to closely coordinate the act of several foreign operations simply did not exist.</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In the early twenty-first century, communication between most parts of the world is instantaneous. A manager in </w:t>
      </w:r>
      <w:r>
        <w:fldChar w:fldCharType="begin"/>
      </w:r>
      <w:r>
        <w:instrText xml:space="preserve"> HYPERLINK "https://www.encyclopedia.com/places/germany-scandinavia-and-central-europe/german-political-geography/berlin" </w:instrText>
      </w:r>
      <w:r>
        <w:fldChar w:fldCharType="separate"/>
      </w:r>
      <w:r>
        <w:rPr>
          <w:rFonts w:ascii="Times New Roman" w:hAnsi="Times New Roman" w:eastAsia="Times New Roman" w:cs="Times New Roman"/>
          <w:color w:val="191919" w:themeColor="background1" w:themeShade="1A"/>
          <w:sz w:val="28"/>
          <w:szCs w:val="28"/>
          <w:lang w:val="en-US" w:eastAsia="ru-RU"/>
        </w:rPr>
        <w:t>Berlin</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w:t>
      </w:r>
      <w:r>
        <w:fldChar w:fldCharType="begin"/>
      </w:r>
      <w:r>
        <w:instrText xml:space="preserve"> HYPERLINK "https://www.encyclopedia.com/places/germany-scandinavia-and-central-europe/german-political-geography/germany" </w:instrText>
      </w:r>
      <w:r>
        <w:fldChar w:fldCharType="separate"/>
      </w:r>
      <w:r>
        <w:rPr>
          <w:rFonts w:ascii="Times New Roman" w:hAnsi="Times New Roman" w:eastAsia="Times New Roman" w:cs="Times New Roman"/>
          <w:color w:val="191919" w:themeColor="background1" w:themeShade="1A"/>
          <w:sz w:val="28"/>
          <w:szCs w:val="28"/>
          <w:lang w:val="en-US" w:eastAsia="ru-RU"/>
        </w:rPr>
        <w:t>Germany</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can phone or e-mail a manager in </w:t>
      </w:r>
      <w:r>
        <w:fldChar w:fldCharType="begin"/>
      </w:r>
      <w:r>
        <w:instrText xml:space="preserve"> HYPERLINK "https://www.encyclopedia.com/places/latin-america-and-caribbean/south-american-political-geography/rio-de-janeiro" </w:instrText>
      </w:r>
      <w:r>
        <w:fldChar w:fldCharType="separate"/>
      </w:r>
      <w:r>
        <w:rPr>
          <w:rFonts w:ascii="Times New Roman" w:hAnsi="Times New Roman" w:eastAsia="Times New Roman" w:cs="Times New Roman"/>
          <w:color w:val="191919" w:themeColor="background1" w:themeShade="1A"/>
          <w:sz w:val="28"/>
          <w:szCs w:val="28"/>
          <w:lang w:val="en-US" w:eastAsia="ru-RU"/>
        </w:rPr>
        <w:t>Rio de Janeiro</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w:t>
      </w:r>
      <w:r>
        <w:fldChar w:fldCharType="begin"/>
      </w:r>
      <w:r>
        <w:instrText xml:space="preserve"> HYPERLINK "https://www.encyclopedia.com/places/latin-america-and-caribbean/south-american-political-geography/brazil" </w:instrText>
      </w:r>
      <w:r>
        <w:fldChar w:fldCharType="separate"/>
      </w:r>
      <w:r>
        <w:rPr>
          <w:rFonts w:ascii="Times New Roman" w:hAnsi="Times New Roman" w:eastAsia="Times New Roman" w:cs="Times New Roman"/>
          <w:color w:val="191919" w:themeColor="background1" w:themeShade="1A"/>
          <w:sz w:val="28"/>
          <w:szCs w:val="28"/>
          <w:lang w:val="en-US" w:eastAsia="ru-RU"/>
        </w:rPr>
        <w:t>Brazil</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to discuss the latest news regarding the orange crop. These new capabilities allow vast amounts of business data to be transferred globally almost instantaneously at a reasonable cost. The world truly has become a smaller place in terms of communication.</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Technological advances have increased the potential for the transportation of goods and individuals globally. This reality encourages a global market approach to business as companies attempt to reach the largest number of consumers at the lowest possible prices.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Another factor leading to a more globalized marketplace is the historical decrease in tariff and nontariff barriers. In 1930 the United States raised tariffs under the </w:t>
      </w:r>
      <w:r>
        <w:fldChar w:fldCharType="begin"/>
      </w:r>
      <w:r>
        <w:instrText xml:space="preserve"> HYPERLINK "https://www.encyclopedia.com/history/united-states-and-canada/us-history/hawley-smoot-tariff-act" </w:instrText>
      </w:r>
      <w:r>
        <w:fldChar w:fldCharType="separate"/>
      </w:r>
      <w:r>
        <w:rPr>
          <w:rFonts w:ascii="Times New Roman" w:hAnsi="Times New Roman" w:eastAsia="Times New Roman" w:cs="Times New Roman"/>
          <w:color w:val="191919" w:themeColor="background1" w:themeShade="1A"/>
          <w:sz w:val="28"/>
          <w:szCs w:val="28"/>
          <w:lang w:val="en-US" w:eastAsia="ru-RU"/>
        </w:rPr>
        <w:t>Hawley-Smoot Tariff Act</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Other countries followed suit, and international trade slowed considerably. In 1947 several leading trading nations created the </w:t>
      </w:r>
      <w:r>
        <w:fldChar w:fldCharType="begin"/>
      </w:r>
      <w:r>
        <w:instrText xml:space="preserve"> HYPERLINK "https://www.encyclopedia.com/social-sciences-and-law/political-science-and-government/united-nations/general-agreement-tariffs" </w:instrText>
      </w:r>
      <w:r>
        <w:fldChar w:fldCharType="separate"/>
      </w:r>
      <w:r>
        <w:rPr>
          <w:rFonts w:ascii="Times New Roman" w:hAnsi="Times New Roman" w:eastAsia="Times New Roman" w:cs="Times New Roman"/>
          <w:color w:val="191919" w:themeColor="background1" w:themeShade="1A"/>
          <w:sz w:val="28"/>
          <w:szCs w:val="28"/>
          <w:lang w:val="en-US" w:eastAsia="ru-RU"/>
        </w:rPr>
        <w:t>General Agreement on Tariffs and Trade</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to serve as a forum for bringing down trade barriers. Between 1947 and 1994, trading countries around the world participated in eight rounds of negotiating in an effort to reduce tariffs.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Another agreement, the </w:t>
      </w:r>
      <w:r>
        <w:fldChar w:fldCharType="begin"/>
      </w:r>
      <w:r>
        <w:instrText xml:space="preserve"> HYPERLINK "https://www.encyclopedia.com/social-sciences-and-law/political-science-and-government/international-organizations/north-american" </w:instrText>
      </w:r>
      <w:r>
        <w:fldChar w:fldCharType="separate"/>
      </w:r>
      <w:r>
        <w:rPr>
          <w:rFonts w:ascii="Times New Roman" w:hAnsi="Times New Roman" w:eastAsia="Times New Roman" w:cs="Times New Roman"/>
          <w:color w:val="191919" w:themeColor="background1" w:themeShade="1A"/>
          <w:sz w:val="28"/>
          <w:szCs w:val="28"/>
          <w:lang w:val="en-US" w:eastAsia="ru-RU"/>
        </w:rPr>
        <w:t>North American Free Trade Agreement</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was implemented by </w:t>
      </w:r>
      <w:r>
        <w:fldChar w:fldCharType="begin"/>
      </w:r>
      <w:r>
        <w:instrText xml:space="preserve"> HYPERLINK "https://www.encyclopedia.com/places/united-states-and-canada/canadian-political-geography/canada" </w:instrText>
      </w:r>
      <w:r>
        <w:fldChar w:fldCharType="separate"/>
      </w:r>
      <w:r>
        <w:rPr>
          <w:rFonts w:ascii="Times New Roman" w:hAnsi="Times New Roman" w:eastAsia="Times New Roman" w:cs="Times New Roman"/>
          <w:color w:val="191919" w:themeColor="background1" w:themeShade="1A"/>
          <w:sz w:val="28"/>
          <w:szCs w:val="28"/>
          <w:lang w:val="en-US" w:eastAsia="ru-RU"/>
        </w:rPr>
        <w:t>Canada</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Mexico, and the United States in 1994. This agreement reduced tariffs over a fifteen-year period, lifted many investment restrictions, allowed for easier movement of white-collar workers, opened up government procurement over a ten-year period, and created a mechanism for dispute resolution. As a result, retailers such as Wal-Mart and 7-Eleven have expanded operations into Mexico and many Mexican and Canadian firms have been enjoying the benefits of participating in the world's largest consumer market, the United States.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Multinational corporations search the globe for the lowest possible labor costs and weakest environmental safeguards. It is not unusual for them to get help from undemocratic governments that compete in the global marketplace by refusing to protect their citizens from environmental degradation and workplace abuse -ranging from below-survival wages to physical attacks.</w:t>
      </w:r>
    </w:p>
    <w:p>
      <w:pPr>
        <w:shd w:val="clear" w:color="auto" w:fill="FFFFFF"/>
        <w:spacing w:after="0" w:line="240" w:lineRule="auto"/>
        <w:jc w:val="both"/>
        <w:outlineLvl w:val="1"/>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both"/>
        <w:outlineLvl w:val="1"/>
        <w:rPr>
          <w:rFonts w:ascii="Times New Roman" w:hAnsi="Times New Roman" w:eastAsia="Times New Roman" w:cs="Times New Roman"/>
          <w:i/>
          <w:color w:val="191919" w:themeColor="background1" w:themeShade="1A"/>
          <w:sz w:val="28"/>
          <w:szCs w:val="28"/>
          <w:lang w:val="en-US" w:eastAsia="ru-RU"/>
        </w:rPr>
      </w:pPr>
      <w:r>
        <w:rPr>
          <w:rFonts w:ascii="Times New Roman" w:hAnsi="Times New Roman" w:eastAsia="Times New Roman" w:cs="Times New Roman"/>
          <w:i/>
          <w:color w:val="191919" w:themeColor="background1" w:themeShade="1A"/>
          <w:sz w:val="28"/>
          <w:szCs w:val="28"/>
          <w:lang w:val="en-US" w:eastAsia="ru-RU"/>
        </w:rPr>
        <w:t>Other factors affecting the global economy</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Closely related to the liberalization of trade, technological advantages, and the convergence of consumer preferences are a set of competitive factors centered around the ideas of economies of scale (larger production volumes generating lower per-unit production costs) and locational advantages.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Another factor affecting the global economy has been the shifting of production among various plants located outside of the United States. This has occurred most significantly with the People's Republic of </w:t>
      </w:r>
      <w:r>
        <w:fldChar w:fldCharType="begin"/>
      </w:r>
      <w:r>
        <w:instrText xml:space="preserve"> HYPERLINK "https://www.encyclopedia.com/places/asia/chinese-political-geography/china" </w:instrText>
      </w:r>
      <w:r>
        <w:fldChar w:fldCharType="separate"/>
      </w:r>
      <w:r>
        <w:rPr>
          <w:rFonts w:ascii="Times New Roman" w:hAnsi="Times New Roman" w:eastAsia="Times New Roman" w:cs="Times New Roman"/>
          <w:color w:val="191919" w:themeColor="background1" w:themeShade="1A"/>
          <w:sz w:val="28"/>
          <w:szCs w:val="28"/>
          <w:lang w:val="en-US" w:eastAsia="ru-RU"/>
        </w:rPr>
        <w:t>China</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China is able to produce a wide variety of goods and services at much lower costs than is possible in the United States.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Overall, the future for the global economy is positive. Many challenges lie ahead, but the overall opportunity is very exciting and carries with it many unknown adventures in international trade in ways not yet known. Global Economy was a concept associated with the twentieth-century evolution of financial markets and institutions, where traditional geographic boundaries did not restrict economic transactions and consumer activities. The global economy applied to the increasingly international transaction characteristics of banks, industries, businesses, and other economic institutions. A global economy of financial markets was attributed to international deregulation of financial markets; technological advances to provide for the careful monitoring of world markets; and increased institutionalization of worldwide economic institutions. In a global economy investors and lenders viewed international loans and securities as comparable to domestic or local transactions. Banks and other financial institutions in a global economy participated in both foreign and domestic markets. A global economy was encouraged by advances in data-processing and telecommunications monitoring, liberalization of worldwide capital funds, deregulation of local capital markets, and increased international competition among markets and economic institutions.</w:t>
      </w:r>
    </w:p>
    <w:p>
      <w:pPr>
        <w:shd w:val="clear" w:color="auto" w:fill="FFFFFF"/>
        <w:spacing w:after="0" w:line="240" w:lineRule="auto"/>
        <w:jc w:val="both"/>
        <w:rPr>
          <w:rFonts w:ascii="Times New Roman" w:hAnsi="Times New Roman" w:eastAsia="Times New Roman" w:cs="Times New Roman"/>
          <w:b/>
          <w:color w:val="191919" w:themeColor="background1" w:themeShade="1A"/>
          <w:sz w:val="28"/>
          <w:szCs w:val="28"/>
          <w:lang w:val="en-US" w:eastAsia="ru-RU"/>
        </w:rPr>
      </w:pPr>
    </w:p>
    <w:p>
      <w:pPr>
        <w:shd w:val="clear" w:color="auto" w:fill="FFFFFF"/>
        <w:spacing w:after="0" w:line="240" w:lineRule="auto"/>
        <w:jc w:val="both"/>
        <w:rPr>
          <w:rFonts w:ascii="Times New Roman" w:hAnsi="Times New Roman" w:eastAsia="Times New Roman" w:cs="Times New Roman"/>
          <w:b/>
          <w:color w:val="191919" w:themeColor="background1" w:themeShade="1A"/>
          <w:sz w:val="28"/>
          <w:szCs w:val="28"/>
          <w:lang w:val="en-US" w:eastAsia="ru-RU"/>
        </w:rPr>
      </w:pPr>
      <w:r>
        <w:rPr>
          <w:rFonts w:ascii="Times New Roman" w:hAnsi="Times New Roman" w:eastAsia="Times New Roman" w:cs="Times New Roman"/>
          <w:b/>
          <w:color w:val="191919" w:themeColor="background1" w:themeShade="1A"/>
          <w:sz w:val="28"/>
          <w:szCs w:val="28"/>
          <w:lang w:val="en-US" w:eastAsia="ru-RU"/>
        </w:rPr>
        <w:t>3. Definitions and the origins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In this lesson we will explore the concept, history, and consequences of a world economy. We will learn why a healthy world economy is important and discuss major events that created the current world economy. The lesson will then conclude with a summary and a quiz.</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Let's imagine for a minute that you are the owner of a large company that creates computer hardware. Each day you see that your machines are working efficiently and that your employees are satisfactorily doing their job. You also look at your sales numbers to see that you are meeting the demand of your domestic consumers. However, one morning while reading an article online, you realize that German manufacturers are not meeting demands in your line of work. A major computer hardware production company has failed there, and, as a result, German companies are scrambling to avoid having a shortage of computers and computer parts for sale. You read that Germany has begun to import products from other countries in order to meet this demand. After researching how much of your product might be in demand as well as how much exporting your product might cost, you decide to ramp up supply and create a partnership with relevant German clients. Congratulations, you have just become an active part of the world economy.</w:t>
      </w:r>
    </w:p>
    <w:p>
      <w:pPr>
        <w:shd w:val="clear" w:color="auto" w:fill="FFFFFF"/>
        <w:spacing w:after="0" w:line="240" w:lineRule="auto"/>
        <w:ind w:firstLine="567"/>
        <w:jc w:val="both"/>
        <w:outlineLvl w:val="1"/>
        <w:rPr>
          <w:rFonts w:ascii="Times New Roman" w:hAnsi="Times New Roman" w:eastAsia="Times New Roman" w:cs="Times New Roman"/>
          <w:b/>
          <w:i/>
          <w:color w:val="191919" w:themeColor="background1" w:themeShade="1A"/>
          <w:sz w:val="28"/>
          <w:szCs w:val="28"/>
          <w:lang w:val="en-US" w:eastAsia="ru-RU"/>
        </w:rPr>
      </w:pPr>
      <w:r>
        <w:rPr>
          <w:rFonts w:ascii="Times New Roman" w:hAnsi="Times New Roman" w:eastAsia="Times New Roman" w:cs="Times New Roman"/>
          <w:b/>
          <w:i/>
          <w:color w:val="191919" w:themeColor="background1" w:themeShade="1A"/>
          <w:sz w:val="28"/>
          <w:szCs w:val="28"/>
          <w:lang w:val="en-US" w:eastAsia="ru-RU"/>
        </w:rPr>
        <w:t>Economy Defined</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In order to understand what the world economy is, you must first understand what an </w:t>
      </w:r>
      <w:r>
        <w:rPr>
          <w:rFonts w:ascii="Times New Roman" w:hAnsi="Times New Roman" w:eastAsia="Times New Roman" w:cs="Times New Roman"/>
          <w:bCs/>
          <w:color w:val="191919" w:themeColor="background1" w:themeShade="1A"/>
          <w:sz w:val="28"/>
          <w:szCs w:val="28"/>
          <w:lang w:val="en-US" w:eastAsia="ru-RU"/>
        </w:rPr>
        <w:t>economy</w:t>
      </w:r>
      <w:r>
        <w:rPr>
          <w:rFonts w:ascii="Times New Roman" w:hAnsi="Times New Roman" w:eastAsia="Times New Roman" w:cs="Times New Roman"/>
          <w:color w:val="191919" w:themeColor="background1" w:themeShade="1A"/>
          <w:sz w:val="28"/>
          <w:szCs w:val="28"/>
          <w:lang w:val="en-US" w:eastAsia="ru-RU"/>
        </w:rPr>
        <w:t> is. An economy is all the activity that is related to producing and consuming goods and services in a specific area. For example, the city of Chicago has a unique economy. This economy takes into account all of the goods created in the city. These goods are tangible items such as computer screens that are created in a factory, and they are intangible products such as new software and new websites that are created by individuals and companies in Chicago. The Chicago economy also takes into account companies that provide services in Chicago, such as restaurants and city tours. All of the business conducted in the city adds up, and citizens of Chicago find they are either in a good economy or a bad economy. A good economy means that, as a whole, the businesses in Chicago are making a profit--they are growing and making money. A bad economy means that, generally speaking, companies in Chicago are not doing well - they are struggling to find customers and perhaps laying people off or cutting wages in response.</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same principle applies to a country. The United States' economy is good or bad based on the performance of businesses throughout the country. Each country on earth has an economy and, as you might predict, those businesses and economies interact. The result of that interaction is called the </w:t>
      </w:r>
      <w:r>
        <w:rPr>
          <w:rFonts w:ascii="Times New Roman" w:hAnsi="Times New Roman" w:eastAsia="Times New Roman" w:cs="Times New Roman"/>
          <w:bCs/>
          <w:color w:val="191919" w:themeColor="background1" w:themeShade="1A"/>
          <w:sz w:val="28"/>
          <w:szCs w:val="28"/>
          <w:lang w:val="en-US" w:eastAsia="ru-RU"/>
        </w:rPr>
        <w:t>world economy</w:t>
      </w:r>
      <w:r>
        <w:rPr>
          <w:rFonts w:ascii="Times New Roman" w:hAnsi="Times New Roman" w:eastAsia="Times New Roman" w:cs="Times New Roman"/>
          <w:color w:val="191919" w:themeColor="background1" w:themeShade="1A"/>
          <w:sz w:val="28"/>
          <w:szCs w:val="28"/>
          <w:lang w:val="en-US" w:eastAsia="ru-RU"/>
        </w:rPr>
        <w:t>.</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term world economy refers to all of the economic activity within each country and between countries around the world. It makes sense that as the population of the world has increased, and as technologies such a air travel and the Internet have made communication between people throughout the world easier, that the world economy has grown. It has also become more important and more complex. When one country does well, other countries see a boost in their economies. Conversely, when one country does poorly, other countries can suffer. The countries of the world are now interdependent. Basically, this means that we all have an interest in working together. As a business owner, you have an interest in making sure that Germany is able to meet the demands of its consumers.</w:t>
      </w:r>
    </w:p>
    <w:p>
      <w:pPr>
        <w:pStyle w:val="10"/>
        <w:shd w:val="clear" w:color="auto" w:fill="FFFFFF"/>
        <w:spacing w:before="0" w:beforeAutospacing="0" w:after="0" w:afterAutospacing="0"/>
        <w:ind w:firstLine="567"/>
        <w:jc w:val="both"/>
        <w:textAlignment w:val="baseline"/>
        <w:rPr>
          <w:b/>
          <w:i/>
          <w:color w:val="191919" w:themeColor="background1" w:themeShade="1A"/>
          <w:sz w:val="28"/>
          <w:szCs w:val="28"/>
          <w:lang w:val="en-US"/>
        </w:rPr>
      </w:pPr>
      <w:r>
        <w:rPr>
          <w:b/>
          <w:bCs/>
          <w:i/>
          <w:color w:val="191919" w:themeColor="background1" w:themeShade="1A"/>
          <w:sz w:val="28"/>
          <w:szCs w:val="28"/>
          <w:lang w:val="en-US"/>
        </w:rPr>
        <w:t>Meaning of Globalisation:</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term ‘Globalisation’ has been derived from the word ‘Globe’. If this term will be extended, it will mean that instead of the thinking of a country’s problem by itself, the entire world will think about it. In economic field, it conveys two meanings.</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First, to remove the hindrances like government permit, licence, export, import, forcing capital etc. in case of liberlaisation.</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Secondly, permission to be granted for the investment of foreign capital in financial corporation or industries run by government which will be privatised. This process of economic globalisation will encourage agriculture, trade, commerce etc. and will help in the economic development of a country.</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bCs/>
          <w:color w:val="191919" w:themeColor="background1" w:themeShade="1A"/>
          <w:sz w:val="28"/>
          <w:szCs w:val="28"/>
          <w:lang w:val="en-US"/>
        </w:rPr>
        <w:t>Background of Global Economy:</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When the cold war was in full swing, on 12 March, 1947, the ‘Truman Doctrine’ of America gave financial assistance to Germany and Greece in order to check the entry of Soviet Russia’s Communism in Europe. This process went one step ahead on 5 June, 1947 through ‘Marshall Plan’ of the U.S.A.</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This plan came forward to help the European countries and the allies of Soviet Russia. Against these two economic measures, the Soviet Russia adopted ‘Molotov Plan’. With the gradual march of time, this policy of economic liberalisation was adopted by many countries of Europe.</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Principle of ‘Perestroika’ initiated by President Gorbachev of U.S.S.R. created a milestone in the field of economic liberalisation. Gradually, the ‘Multi-national Companies’ of various capitalist countries invested their capital in other developing countries thereby creating market for them.</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As a result, capital, different products, technology etc. flew from one country to another. This was known as ‘Economic Liberlisation’. The ‘World Bank’ and ‘World Trade Organisation’ also activated this process and different countries of the world adopted this process.</w:t>
      </w:r>
    </w:p>
    <w:p>
      <w:pPr>
        <w:pStyle w:val="10"/>
        <w:shd w:val="clear" w:color="auto" w:fill="FFFFFF"/>
        <w:spacing w:before="0" w:beforeAutospacing="0" w:after="0" w:afterAutospacing="0"/>
        <w:ind w:firstLine="567"/>
        <w:jc w:val="both"/>
        <w:textAlignment w:val="baseline"/>
        <w:rPr>
          <w:b/>
          <w:bCs/>
          <w:i/>
          <w:color w:val="191919" w:themeColor="background1" w:themeShade="1A"/>
          <w:sz w:val="28"/>
          <w:szCs w:val="28"/>
          <w:lang w:val="en-US"/>
        </w:rPr>
      </w:pPr>
    </w:p>
    <w:p>
      <w:pPr>
        <w:pStyle w:val="10"/>
        <w:shd w:val="clear" w:color="auto" w:fill="FFFFFF"/>
        <w:spacing w:before="0" w:beforeAutospacing="0" w:after="0" w:afterAutospacing="0"/>
        <w:ind w:firstLine="567"/>
        <w:jc w:val="both"/>
        <w:textAlignment w:val="baseline"/>
        <w:rPr>
          <w:b/>
          <w:bCs/>
          <w:i/>
          <w:color w:val="191919" w:themeColor="background1" w:themeShade="1A"/>
          <w:sz w:val="28"/>
          <w:szCs w:val="28"/>
          <w:lang w:val="en-US"/>
        </w:rPr>
      </w:pPr>
    </w:p>
    <w:p>
      <w:pPr>
        <w:pStyle w:val="10"/>
        <w:shd w:val="clear" w:color="auto" w:fill="FFFFFF"/>
        <w:spacing w:before="0" w:beforeAutospacing="0" w:after="0" w:afterAutospacing="0"/>
        <w:ind w:firstLine="567"/>
        <w:jc w:val="both"/>
        <w:textAlignment w:val="baseline"/>
        <w:rPr>
          <w:b/>
          <w:i/>
          <w:color w:val="191919" w:themeColor="background1" w:themeShade="1A"/>
          <w:sz w:val="28"/>
          <w:szCs w:val="28"/>
          <w:lang w:val="en-US"/>
        </w:rPr>
      </w:pPr>
      <w:r>
        <w:rPr>
          <w:b/>
          <w:bCs/>
          <w:i/>
          <w:color w:val="191919" w:themeColor="background1" w:themeShade="1A"/>
          <w:sz w:val="28"/>
          <w:szCs w:val="28"/>
          <w:lang w:val="en-US"/>
        </w:rPr>
        <w:t>Different aspects of Global Economy:</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Global Economy has several aspects. At first, many countries of the world have been connected with this global economy by following its trends. Secondly, the economic growth of a country influences the economy of another country. Thirdly, it is encouraging many countries to invest capital at other countries. Fourthly, the WTO has been created to regulate the global economy. At last, it is meant to connect the countries of the world.</w:t>
      </w:r>
    </w:p>
    <w:p>
      <w:pPr>
        <w:pStyle w:val="10"/>
        <w:shd w:val="clear" w:color="auto" w:fill="FFFFFF"/>
        <w:spacing w:before="0" w:beforeAutospacing="0" w:after="0" w:afterAutospacing="0"/>
        <w:ind w:firstLine="567"/>
        <w:jc w:val="both"/>
        <w:textAlignment w:val="baseline"/>
        <w:rPr>
          <w:b/>
          <w:i/>
          <w:color w:val="191919" w:themeColor="background1" w:themeShade="1A"/>
          <w:sz w:val="28"/>
          <w:szCs w:val="28"/>
          <w:lang w:val="en-US"/>
        </w:rPr>
      </w:pPr>
      <w:r>
        <w:rPr>
          <w:b/>
          <w:bCs/>
          <w:i/>
          <w:color w:val="191919" w:themeColor="background1" w:themeShade="1A"/>
          <w:sz w:val="28"/>
          <w:szCs w:val="28"/>
          <w:lang w:val="en-US"/>
        </w:rPr>
        <w:t>Development of Global Economy:</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development of global economy passed through several stages. In 1944 in the ‘Brettonwoods Conference’, the representatives of 44 countries decided to form ‘International Bank for Reconstruction and Development (IBRD) and ‘International Monetary Fund’ (IMF). This plan was also materialised.</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In 1948 when ‘General Agreement on Tariff and Trade’ (GATT) was made. In 1956 ‘International Finance Corporation’ (IFC) was formed. In 1960 the ‘International Development Association’ (IDA) was formed. In 1995 GATT was given a new name as ‘World Trade Organisation’ (WTO) which galvanised the global economy.</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When P.V. Narasimha Rao was the Prime Minister of India, the then Finance Minister, Manmohan Singh had encouraged this process. After him, Yashobant Sinha, the then Finance Minister encouraged it. Now P. Chidambaram, the Present Finance Minister is also encouraging it.</w:t>
      </w:r>
    </w:p>
    <w:p>
      <w:pPr>
        <w:pStyle w:val="10"/>
        <w:shd w:val="clear" w:color="auto" w:fill="FFFFFF"/>
        <w:spacing w:before="0" w:beforeAutospacing="0" w:after="0" w:afterAutospacing="0"/>
        <w:ind w:firstLine="567"/>
        <w:jc w:val="both"/>
        <w:textAlignment w:val="baseline"/>
        <w:rPr>
          <w:b/>
          <w:i/>
          <w:color w:val="191919" w:themeColor="background1" w:themeShade="1A"/>
          <w:sz w:val="28"/>
          <w:szCs w:val="28"/>
          <w:lang w:val="en-US"/>
        </w:rPr>
      </w:pPr>
      <w:r>
        <w:rPr>
          <w:b/>
          <w:bCs/>
          <w:i/>
          <w:color w:val="191919" w:themeColor="background1" w:themeShade="1A"/>
          <w:sz w:val="28"/>
          <w:szCs w:val="28"/>
          <w:lang w:val="en-US"/>
        </w:rPr>
        <w:t>Measures of Global Economy:</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Multi-national Companies have established their organisation in different countries. They have launched their products in these countries. They have also established industries in different countries and employed the local people in these factories. Some people are also sailing the products of these companies and earning profit for them.</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These companies are producing electronic goods, vehicles, packet milks, cosmetics, fast food, cold drinks etc. and monopolising in different countries. These activities of different multi-national companies have made the world a ‘Global Village’.</w:t>
      </w:r>
    </w:p>
    <w:p>
      <w:pPr>
        <w:pStyle w:val="10"/>
        <w:shd w:val="clear" w:color="auto" w:fill="FFFFFF"/>
        <w:spacing w:before="0" w:beforeAutospacing="0" w:after="0" w:afterAutospacing="0"/>
        <w:ind w:firstLine="567"/>
        <w:jc w:val="both"/>
        <w:textAlignment w:val="baseline"/>
        <w:rPr>
          <w:b/>
          <w:i/>
          <w:color w:val="191919" w:themeColor="background1" w:themeShade="1A"/>
          <w:sz w:val="28"/>
          <w:szCs w:val="28"/>
          <w:lang w:val="en-US"/>
        </w:rPr>
      </w:pPr>
      <w:r>
        <w:rPr>
          <w:b/>
          <w:bCs/>
          <w:i/>
          <w:color w:val="191919" w:themeColor="background1" w:themeShade="1A"/>
          <w:sz w:val="28"/>
          <w:szCs w:val="28"/>
          <w:lang w:val="en-US"/>
        </w:rPr>
        <w:t>Country and Global Economy:</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Now global economy is regulating the activities of a country. This has forced the country to lose control over the economic activities of individuals. The economic liberalisation has given impetus to global economy. Without the intervention of the government in individual activity, the interest and ability of an individual are increasing.</w:t>
      </w:r>
    </w:p>
    <w:p>
      <w:pPr>
        <w:pStyle w:val="10"/>
        <w:shd w:val="clear" w:color="auto" w:fill="FFFFFF"/>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On the other, the IMF and World Bank are giving loans to different countries and regulating their activities. These countries are also dancing to the tune of the World Bank. Thus, global economy is decreasing the influence of a country and increasing the influence of an individual.</w:t>
      </w:r>
    </w:p>
    <w:p>
      <w:pPr>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cs="Times New Roman"/>
          <w:b/>
          <w:color w:val="191919" w:themeColor="background1" w:themeShade="1A"/>
          <w:sz w:val="28"/>
          <w:szCs w:val="28"/>
          <w:lang w:val="en-US"/>
        </w:rPr>
        <w:t>4. Objective economic necessity to be part of the global economy</w:t>
      </w:r>
      <w:r>
        <w:rPr>
          <w:rFonts w:ascii="Times New Roman" w:hAnsi="Times New Roman" w:cs="Times New Roman"/>
          <w:b/>
          <w:color w:val="191919" w:themeColor="background1" w:themeShade="1A"/>
          <w:sz w:val="28"/>
          <w:szCs w:val="28"/>
          <w:lang w:val="en-US"/>
        </w:rPr>
        <w:br w:type="textWrapping"/>
      </w:r>
      <w:r>
        <w:rPr>
          <w:rFonts w:ascii="Times New Roman" w:hAnsi="Times New Roman" w:eastAsia="Times New Roman" w:cs="Times New Roman"/>
          <w:color w:val="191919" w:themeColor="background1" w:themeShade="1A"/>
          <w:sz w:val="28"/>
          <w:szCs w:val="28"/>
          <w:lang w:val="en-US" w:eastAsia="ru-RU"/>
        </w:rPr>
        <w:t>Globalization offers extensive opportunities for truly worldwide development but it is not progressing evenly. Some countries are becoming integrated into the global economy more quickly than others. Countries that have been able to integrate are seeing faster growth and reduced poverty. Outward-oriented policies brought dynamism and greater prosperity to much of East Asia, transforming it from one of the poorest areas of the world 40 years ago. And as living standards rose, it became possible to make progress on democracy and economic issues such as the environment and work standards.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By contrast, in the 1970s and 1980s when many countries in Latin America and Africa pursued inward-oriented policies, their economies stagnated or declined, poverty increased and high inflation became the norm. In many cases, especially Africa, adverse external developments made the problems worse. As these regions changed their policies, their incomes have begun to rise. An important transformation is underway. Encouraging this trend, not reversing it, is the best course for promoting growth, development and poverty reduction.</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crises in the emerging markets in the 1990s have made it quite evident that the opportunities of globalization do not come without risks - risks arising from volatile capital movements and the risks of social, economic, and environmental degradation created by poverty. This is not a reason to reverse direction, but for all concerned - in developing countries, in the advanced countries, and of course investors - to embrace policy changes to build strong economies and a stronger world financial system that will produce more rapid growth and ensure that poverty is reduced.</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How can the developing countries, especially the poorest, be helped to catch up? Does globalization exacerbate inequality or can it help to reduce poverty? And are countries that integrate with the global economy inevitably vulnerable to instability? These are some of the questions covered in the following sections.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Economic "globalization" is a historical process, the result of human innovation and technological progress. It refers to the increasing integration of economies around the world, particularly through trade and financial flows. The term sometimes also refers to the movement of people (labor) and knowledge (technology) across international borders. There are also broader cultural, political and environmental dimensions of globalization that are not covered here.</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At its most basic, there is nothing mysterious about globalization. The term has come into common usage since the 1980s, reflecting technological advances that have made it easier and quicker to complete international transactions - both trade and financial flows. It refers to an extension beyond national borders of the same market forces that have operated for centuries at all levels of human economic activity - village markets, urban industries, or financial centers.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Markets promote efficiency through competition and the division of labor - the specialization that allows people and economies to focus on what they do best. Global markets offer greater opportunity for people to tap into more and larger markets around the world. It means that they can have access to more capital flows, technology, cheaper imports, and larger export markets. But markets do not necessarily ensure that the benefits of increased efficiency are shared by all. Countries must be prepared to embrace the policies needed, and in the case of the poorest countries may need the support of the international community as they do so.</w:t>
      </w:r>
    </w:p>
    <w:p>
      <w:pPr>
        <w:shd w:val="clear" w:color="auto" w:fill="FFFFFF"/>
        <w:spacing w:after="0" w:line="240" w:lineRule="auto"/>
        <w:outlineLvl w:val="2"/>
        <w:rPr>
          <w:rFonts w:ascii="Times New Roman" w:hAnsi="Times New Roman" w:eastAsia="Times New Roman" w:cs="Times New Roman"/>
          <w:b/>
          <w:bCs/>
          <w:i/>
          <w:color w:val="191919" w:themeColor="background1" w:themeShade="1A"/>
          <w:sz w:val="28"/>
          <w:szCs w:val="28"/>
          <w:lang w:val="en-US" w:eastAsia="ru-RU"/>
        </w:rPr>
      </w:pPr>
      <w:r>
        <w:rPr>
          <w:rFonts w:ascii="Times New Roman" w:hAnsi="Times New Roman" w:eastAsia="Times New Roman" w:cs="Times New Roman"/>
          <w:b/>
          <w:bCs/>
          <w:i/>
          <w:color w:val="191919" w:themeColor="background1" w:themeShade="1A"/>
          <w:sz w:val="28"/>
          <w:szCs w:val="28"/>
          <w:lang w:val="en-US" w:eastAsia="ru-RU"/>
        </w:rPr>
        <w:t>Unparalleled Growth, Increased Inequality: 20</w:t>
      </w:r>
      <w:r>
        <w:rPr>
          <w:rFonts w:ascii="Times New Roman" w:hAnsi="Times New Roman" w:eastAsia="Times New Roman" w:cs="Times New Roman"/>
          <w:b/>
          <w:bCs/>
          <w:i/>
          <w:color w:val="191919" w:themeColor="background1" w:themeShade="1A"/>
          <w:sz w:val="28"/>
          <w:szCs w:val="28"/>
          <w:vertAlign w:val="superscript"/>
          <w:lang w:val="en-US" w:eastAsia="ru-RU"/>
        </w:rPr>
        <w:t>th</w:t>
      </w:r>
      <w:r>
        <w:rPr>
          <w:rFonts w:ascii="Times New Roman" w:hAnsi="Times New Roman" w:eastAsia="Times New Roman" w:cs="Times New Roman"/>
          <w:b/>
          <w:bCs/>
          <w:i/>
          <w:color w:val="191919" w:themeColor="background1" w:themeShade="1A"/>
          <w:sz w:val="28"/>
          <w:szCs w:val="28"/>
          <w:lang w:val="en-US" w:eastAsia="ru-RU"/>
        </w:rPr>
        <w:t> Century Income Trends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Globalization is not just a recent phenomenon. Some analysts have argued that the world economy was just as globalized 100 years ago as it is today. But today commerce and financial services are far more developed and deeply integrated than they were at that time. The most striking aspect of this has been the integration of financial markets made possible by modern electronic communication.</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20</w:t>
      </w:r>
      <w:r>
        <w:rPr>
          <w:rFonts w:ascii="Times New Roman" w:hAnsi="Times New Roman" w:eastAsia="Times New Roman" w:cs="Times New Roman"/>
          <w:color w:val="191919" w:themeColor="background1" w:themeShade="1A"/>
          <w:sz w:val="28"/>
          <w:szCs w:val="28"/>
          <w:vertAlign w:val="superscript"/>
          <w:lang w:val="en-US" w:eastAsia="ru-RU"/>
        </w:rPr>
        <w:t>th</w:t>
      </w:r>
      <w:r>
        <w:rPr>
          <w:rFonts w:ascii="Times New Roman" w:hAnsi="Times New Roman" w:eastAsia="Times New Roman" w:cs="Times New Roman"/>
          <w:color w:val="191919" w:themeColor="background1" w:themeShade="1A"/>
          <w:sz w:val="28"/>
          <w:szCs w:val="28"/>
          <w:lang w:val="en-US" w:eastAsia="ru-RU"/>
        </w:rPr>
        <w:t> century saw unparalleled economic growth, with global per capita GDP increasing almost five-fold. But this growth was not steady - the strongest expansion came during the second half of the century, a period of rapid trade expansion accompanied by trade - and typically somewhat later, financial -liberalization. </w:t>
      </w:r>
      <w:r>
        <w:fldChar w:fldCharType="begin"/>
      </w:r>
      <w:r>
        <w:instrText xml:space="preserve"> HYPERLINK "https://www.imf.org/external/np/exr/ib/2000/041200to.htm" \l "chart1a" </w:instrText>
      </w:r>
      <w:r>
        <w:fldChar w:fldCharType="separate"/>
      </w:r>
      <w:r>
        <w:rPr>
          <w:rFonts w:ascii="Times New Roman" w:hAnsi="Times New Roman" w:eastAsia="Times New Roman" w:cs="Times New Roman"/>
          <w:color w:val="191919" w:themeColor="background1" w:themeShade="1A"/>
          <w:sz w:val="28"/>
          <w:szCs w:val="28"/>
          <w:lang w:val="en-US" w:eastAsia="ru-RU"/>
        </w:rPr>
        <w:t>Figure 1a</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breaks the century into four periods. In the inter-war era, the world turned its back on internationalism - or globalization as we now call it -and countries retreated into closed economies, protectionism and pervasive capital controls. This was a major factor in the devastation of this period, when per capita income growth fell to less than 1 percent during 1913-1950. For the rest of the century, even though population grew at an unprecedented pace, per capita income growth was over 2 percent, the fastest pace of all coming during the post-World War boom in the industrial countries.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story of the 20</w:t>
      </w:r>
      <w:r>
        <w:rPr>
          <w:rFonts w:ascii="Times New Roman" w:hAnsi="Times New Roman" w:eastAsia="Times New Roman" w:cs="Times New Roman"/>
          <w:color w:val="191919" w:themeColor="background1" w:themeShade="1A"/>
          <w:sz w:val="28"/>
          <w:szCs w:val="28"/>
          <w:vertAlign w:val="superscript"/>
          <w:lang w:val="en-US" w:eastAsia="ru-RU"/>
        </w:rPr>
        <w:t>th</w:t>
      </w:r>
      <w:r>
        <w:rPr>
          <w:rFonts w:ascii="Times New Roman" w:hAnsi="Times New Roman" w:eastAsia="Times New Roman" w:cs="Times New Roman"/>
          <w:color w:val="191919" w:themeColor="background1" w:themeShade="1A"/>
          <w:sz w:val="28"/>
          <w:szCs w:val="28"/>
          <w:lang w:val="en-US" w:eastAsia="ru-RU"/>
        </w:rPr>
        <w:t> century was of remarkable average income growth, but it is also quite obvious that the progress was not evenly dispersed. The gaps between rich and poor countries, and rich and poor people within countries, have grown. The richest quarter of the world’s population saw its per capita GDP increase nearly six-fold during the century, while the poorest quarter experienced less than a three-fold increase. Income inequality has clearly increased. But, as noted below, per capita GDP does not tell the whole story.</w:t>
      </w:r>
    </w:p>
    <w:p>
      <w:pPr>
        <w:spacing w:after="0" w:line="240" w:lineRule="auto"/>
        <w:ind w:firstLine="567"/>
        <w:jc w:val="both"/>
        <w:rPr>
          <w:rFonts w:ascii="Times New Roman" w:hAnsi="Times New Roman" w:cs="Times New Roman"/>
          <w:b/>
          <w:color w:val="191919" w:themeColor="background1" w:themeShade="1A"/>
          <w:sz w:val="28"/>
          <w:szCs w:val="28"/>
          <w:shd w:val="clear" w:color="auto" w:fill="FFFFFF"/>
          <w:lang w:val="en-US"/>
        </w:rPr>
      </w:pPr>
    </w:p>
    <w:p>
      <w:pPr>
        <w:spacing w:after="0" w:line="240" w:lineRule="auto"/>
        <w:ind w:firstLine="567"/>
        <w:jc w:val="both"/>
        <w:rPr>
          <w:rFonts w:ascii="Times New Roman" w:hAnsi="Times New Roman" w:cs="Times New Roman"/>
          <w:b/>
          <w:color w:val="191919" w:themeColor="background1" w:themeShade="1A"/>
          <w:sz w:val="28"/>
          <w:szCs w:val="28"/>
          <w:shd w:val="clear" w:color="auto" w:fill="FFFFFF"/>
          <w:lang w:val="en-US"/>
        </w:rPr>
      </w:pPr>
    </w:p>
    <w:p>
      <w:pPr>
        <w:spacing w:after="0" w:line="240" w:lineRule="auto"/>
        <w:ind w:firstLine="567"/>
        <w:jc w:val="center"/>
        <w:rPr>
          <w:rFonts w:ascii="Times New Roman" w:hAnsi="Times New Roman" w:cs="Times New Roman"/>
          <w:color w:val="191919" w:themeColor="background1" w:themeShade="1A"/>
          <w:sz w:val="28"/>
          <w:szCs w:val="28"/>
          <w:shd w:val="clear" w:color="auto" w:fill="FFFFFF"/>
          <w:lang w:val="en-US"/>
        </w:rPr>
      </w:pPr>
      <w:r>
        <w:rPr>
          <w:rFonts w:ascii="Times New Roman" w:hAnsi="Times New Roman" w:cs="Times New Roman"/>
          <w:color w:val="191919" w:themeColor="background1" w:themeShade="1A"/>
          <w:sz w:val="28"/>
          <w:szCs w:val="28"/>
          <w:shd w:val="clear" w:color="auto" w:fill="FFFFFF"/>
          <w:lang w:val="en-US"/>
        </w:rPr>
        <w:t>Questions:</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What is global economics about?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Please describe the definitions and the origins of the global economy. </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Objective economic necessity to be part of the global economy.</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What the external factors influence on the economy of Kazakhstan?</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What kind of way do you know to develop the economy of Kazakhstan in the condition of the global economy?</w:t>
      </w:r>
    </w:p>
    <w:p>
      <w:pPr>
        <w:spacing w:after="0" w:line="240" w:lineRule="auto"/>
        <w:jc w:val="both"/>
        <w:rPr>
          <w:rFonts w:ascii="Times New Roman" w:hAnsi="Times New Roman" w:cs="Times New Roman"/>
          <w:b/>
          <w:color w:val="191919" w:themeColor="background1" w:themeShade="1A"/>
          <w:sz w:val="28"/>
          <w:szCs w:val="28"/>
          <w:shd w:val="clear" w:color="auto" w:fill="FFFFFF"/>
          <w:lang w:val="en-US"/>
        </w:rPr>
      </w:pPr>
    </w:p>
    <w:p>
      <w:pPr>
        <w:shd w:val="clear" w:color="auto" w:fill="FFFFFF"/>
        <w:spacing w:after="0" w:line="240" w:lineRule="auto"/>
        <w:ind w:firstLine="567"/>
        <w:jc w:val="center"/>
        <w:outlineLvl w:val="1"/>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ind w:firstLine="567"/>
        <w:jc w:val="center"/>
        <w:outlineLvl w:val="1"/>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References:</w:t>
      </w:r>
    </w:p>
    <w:p>
      <w:pPr>
        <w:pStyle w:val="18"/>
        <w:numPr>
          <w:ilvl w:val="0"/>
          <w:numId w:val="3"/>
        </w:numPr>
        <w:shd w:val="clear" w:color="auto" w:fill="FFFFFF"/>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Adonis, A. (2017, September 17). Lines open for the global village. </w:t>
      </w:r>
      <w:r>
        <w:rPr>
          <w:rFonts w:ascii="Times New Roman" w:hAnsi="Times New Roman" w:eastAsia="Times New Roman" w:cs="Times New Roman"/>
          <w:iCs/>
          <w:color w:val="191919" w:themeColor="background1" w:themeShade="1A"/>
          <w:sz w:val="28"/>
          <w:szCs w:val="28"/>
          <w:lang w:val="en-US" w:eastAsia="ru-RU"/>
        </w:rPr>
        <w:t>Financial Times,</w:t>
      </w:r>
      <w:r>
        <w:rPr>
          <w:rFonts w:ascii="Times New Roman" w:hAnsi="Times New Roman" w:eastAsia="Times New Roman" w:cs="Times New Roman"/>
          <w:color w:val="191919" w:themeColor="background1" w:themeShade="1A"/>
          <w:sz w:val="28"/>
          <w:szCs w:val="28"/>
          <w:lang w:val="en-US" w:eastAsia="ru-RU"/>
        </w:rPr>
        <w:t> p. 8.</w:t>
      </w:r>
    </w:p>
    <w:p>
      <w:pPr>
        <w:pStyle w:val="18"/>
        <w:numPr>
          <w:ilvl w:val="0"/>
          <w:numId w:val="3"/>
        </w:numPr>
        <w:shd w:val="clear" w:color="auto" w:fill="FFFFFF"/>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Braithwaite, John, and Drahos, Peter (2013). </w:t>
      </w:r>
      <w:r>
        <w:rPr>
          <w:rFonts w:ascii="Times New Roman" w:hAnsi="Times New Roman" w:eastAsia="Times New Roman" w:cs="Times New Roman"/>
          <w:iCs/>
          <w:color w:val="191919" w:themeColor="background1" w:themeShade="1A"/>
          <w:sz w:val="28"/>
          <w:szCs w:val="28"/>
          <w:lang w:val="en-US" w:eastAsia="ru-RU"/>
        </w:rPr>
        <w:t>Global business regulation.</w:t>
      </w:r>
      <w:r>
        <w:rPr>
          <w:rFonts w:ascii="Times New Roman" w:hAnsi="Times New Roman" w:eastAsia="Times New Roman" w:cs="Times New Roman"/>
          <w:color w:val="191919" w:themeColor="background1" w:themeShade="1A"/>
          <w:sz w:val="28"/>
          <w:szCs w:val="28"/>
          <w:lang w:val="en-US" w:eastAsia="ru-RU"/>
        </w:rPr>
        <w:t> </w:t>
      </w:r>
      <w:r>
        <w:fldChar w:fldCharType="begin"/>
      </w:r>
      <w:r>
        <w:instrText xml:space="preserve"> HYPERLINK "https://www.encyclopedia.com/places/united-states-and-canada/us-political-geography/new-york" </w:instrText>
      </w:r>
      <w:r>
        <w:fldChar w:fldCharType="separate"/>
      </w:r>
      <w:r>
        <w:rPr>
          <w:rFonts w:ascii="Times New Roman" w:hAnsi="Times New Roman" w:eastAsia="Times New Roman" w:cs="Times New Roman"/>
          <w:color w:val="191919" w:themeColor="background1" w:themeShade="1A"/>
          <w:sz w:val="28"/>
          <w:szCs w:val="28"/>
          <w:lang w:val="en-US" w:eastAsia="ru-RU"/>
        </w:rPr>
        <w:t>New York</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w:t>
      </w:r>
      <w:r>
        <w:fldChar w:fldCharType="begin"/>
      </w:r>
      <w:r>
        <w:instrText xml:space="preserve"> HYPERLINK "https://www.encyclopedia.com/social-sciences-and-law/education/colleges-international/cambridge-university" </w:instrText>
      </w:r>
      <w:r>
        <w:fldChar w:fldCharType="separate"/>
      </w:r>
      <w:r>
        <w:rPr>
          <w:rFonts w:ascii="Times New Roman" w:hAnsi="Times New Roman" w:eastAsia="Times New Roman" w:cs="Times New Roman"/>
          <w:color w:val="191919" w:themeColor="background1" w:themeShade="1A"/>
          <w:sz w:val="28"/>
          <w:szCs w:val="28"/>
          <w:lang w:val="en-US" w:eastAsia="ru-RU"/>
        </w:rPr>
        <w:t>Cambridge University</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Press.</w:t>
      </w:r>
    </w:p>
    <w:p>
      <w:pPr>
        <w:pStyle w:val="18"/>
        <w:numPr>
          <w:ilvl w:val="0"/>
          <w:numId w:val="3"/>
        </w:numPr>
        <w:shd w:val="clear" w:color="auto" w:fill="FFFFFF"/>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Czinkota, Michael R., Ronkainen, Ilkka A., and Donath, Bob (2014). </w:t>
      </w:r>
      <w:r>
        <w:rPr>
          <w:rFonts w:ascii="Times New Roman" w:hAnsi="Times New Roman" w:eastAsia="Times New Roman" w:cs="Times New Roman"/>
          <w:iCs/>
          <w:color w:val="191919" w:themeColor="background1" w:themeShade="1A"/>
          <w:sz w:val="28"/>
          <w:szCs w:val="28"/>
          <w:lang w:val="en-US" w:eastAsia="ru-RU"/>
        </w:rPr>
        <w:t>Mastering global markets: Strategies for today's trade globalist.</w:t>
      </w:r>
      <w:r>
        <w:rPr>
          <w:rFonts w:ascii="Times New Roman" w:hAnsi="Times New Roman" w:eastAsia="Times New Roman" w:cs="Times New Roman"/>
          <w:color w:val="191919" w:themeColor="background1" w:themeShade="1A"/>
          <w:sz w:val="28"/>
          <w:szCs w:val="28"/>
          <w:lang w:val="en-US" w:eastAsia="ru-RU"/>
        </w:rPr>
        <w:t> Mason, OH: Thomson/Southwestern.</w:t>
      </w:r>
    </w:p>
    <w:p>
      <w:pPr>
        <w:pStyle w:val="18"/>
        <w:numPr>
          <w:ilvl w:val="0"/>
          <w:numId w:val="3"/>
        </w:numPr>
        <w:shd w:val="clear" w:color="auto" w:fill="FFFFFF"/>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Global economic integration. (n.d.). Retrieved February 22, 2016, from About.com Website: </w:t>
      </w:r>
      <w:r>
        <w:fldChar w:fldCharType="begin"/>
      </w:r>
      <w:r>
        <w:instrText xml:space="preserve"> HYPERLINK "http://economics.about.com/od/useconomichistory/a/global.htm" </w:instrText>
      </w:r>
      <w:r>
        <w:fldChar w:fldCharType="separate"/>
      </w:r>
      <w:r>
        <w:rPr>
          <w:rFonts w:ascii="Times New Roman" w:hAnsi="Times New Roman" w:eastAsia="Times New Roman" w:cs="Times New Roman"/>
          <w:color w:val="191919" w:themeColor="background1" w:themeShade="1A"/>
          <w:sz w:val="28"/>
          <w:szCs w:val="28"/>
          <w:lang w:val="en-US" w:eastAsia="ru-RU"/>
        </w:rPr>
        <w:t>http://economics.about.com/od/useconomichistory/a/global.htm</w:t>
      </w:r>
      <w:r>
        <w:rPr>
          <w:rFonts w:ascii="Times New Roman" w:hAnsi="Times New Roman" w:eastAsia="Times New Roman" w:cs="Times New Roman"/>
          <w:color w:val="191919" w:themeColor="background1" w:themeShade="1A"/>
          <w:sz w:val="28"/>
          <w:szCs w:val="28"/>
          <w:lang w:val="en-US" w:eastAsia="ru-RU"/>
        </w:rPr>
        <w:fldChar w:fldCharType="end"/>
      </w:r>
    </w:p>
    <w:p>
      <w:pPr>
        <w:pStyle w:val="18"/>
        <w:numPr>
          <w:ilvl w:val="0"/>
          <w:numId w:val="3"/>
        </w:numPr>
        <w:shd w:val="clear" w:color="auto" w:fill="FFFFFF"/>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Hill, Charles W. L. (2018). </w:t>
      </w:r>
      <w:r>
        <w:rPr>
          <w:rFonts w:ascii="Times New Roman" w:hAnsi="Times New Roman" w:eastAsia="Times New Roman" w:cs="Times New Roman"/>
          <w:iCs/>
          <w:color w:val="191919" w:themeColor="background1" w:themeShade="1A"/>
          <w:sz w:val="28"/>
          <w:szCs w:val="28"/>
          <w:lang w:val="en-US" w:eastAsia="ru-RU"/>
        </w:rPr>
        <w:t>Global business today</w:t>
      </w:r>
      <w:r>
        <w:rPr>
          <w:rFonts w:ascii="Times New Roman" w:hAnsi="Times New Roman" w:eastAsia="Times New Roman" w:cs="Times New Roman"/>
          <w:color w:val="191919" w:themeColor="background1" w:themeShade="1A"/>
          <w:sz w:val="28"/>
          <w:szCs w:val="28"/>
          <w:lang w:val="en-US" w:eastAsia="ru-RU"/>
        </w:rPr>
        <w:t> (4th ed.). Boston: McGraw-Hill/Irwin.</w:t>
      </w:r>
    </w:p>
    <w:p>
      <w:pPr>
        <w:pStyle w:val="18"/>
        <w:numPr>
          <w:ilvl w:val="0"/>
          <w:numId w:val="3"/>
        </w:numPr>
        <w:shd w:val="clear" w:color="auto" w:fill="FFFFFF"/>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iCs/>
          <w:color w:val="191919" w:themeColor="background1" w:themeShade="1A"/>
          <w:sz w:val="28"/>
          <w:szCs w:val="28"/>
          <w:lang w:val="en-US" w:eastAsia="ru-RU"/>
        </w:rPr>
        <w:t>What is global economy?</w:t>
      </w:r>
      <w:r>
        <w:rPr>
          <w:rFonts w:ascii="Times New Roman" w:hAnsi="Times New Roman" w:eastAsia="Times New Roman" w:cs="Times New Roman"/>
          <w:color w:val="191919" w:themeColor="background1" w:themeShade="1A"/>
          <w:sz w:val="28"/>
          <w:szCs w:val="28"/>
          <w:lang w:val="en-US" w:eastAsia="ru-RU"/>
        </w:rPr>
        <w:t xml:space="preserve"> Retrieved February 7, 2016, from PR Resource Center Web site: </w:t>
      </w:r>
      <w:r>
        <w:fldChar w:fldCharType="begin"/>
      </w:r>
      <w:r>
        <w:instrText xml:space="preserve"> HYPERLINK "http://www.ailins.com/agency/PR/unions/global_economy.html" </w:instrText>
      </w:r>
      <w:r>
        <w:fldChar w:fldCharType="separate"/>
      </w:r>
      <w:r>
        <w:rPr>
          <w:rStyle w:val="13"/>
          <w:rFonts w:ascii="Times New Roman" w:hAnsi="Times New Roman" w:eastAsia="Times New Roman" w:cs="Times New Roman"/>
          <w:color w:val="191919" w:themeColor="background1" w:themeShade="1A"/>
          <w:sz w:val="28"/>
          <w:szCs w:val="28"/>
          <w:lang w:val="en-US" w:eastAsia="ru-RU"/>
        </w:rPr>
        <w:t>http://www.ailins.com/agency/PR/unions/global_economy.html</w:t>
      </w:r>
      <w:r>
        <w:rPr>
          <w:rStyle w:val="13"/>
          <w:rFonts w:ascii="Times New Roman" w:hAnsi="Times New Roman" w:eastAsia="Times New Roman" w:cs="Times New Roman"/>
          <w:color w:val="191919" w:themeColor="background1" w:themeShade="1A"/>
          <w:sz w:val="28"/>
          <w:szCs w:val="28"/>
          <w:lang w:val="en-US" w:eastAsia="ru-RU"/>
        </w:rPr>
        <w:fldChar w:fldCharType="end"/>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pStyle w:val="19"/>
        <w:jc w:val="both"/>
        <w:rPr>
          <w:b/>
          <w:color w:val="191919" w:themeColor="background1" w:themeShade="1A"/>
          <w:sz w:val="28"/>
          <w:szCs w:val="28"/>
          <w:lang w:val="en-US"/>
        </w:rPr>
      </w:pPr>
    </w:p>
    <w:p>
      <w:pPr>
        <w:pStyle w:val="19"/>
        <w:jc w:val="both"/>
        <w:rPr>
          <w:color w:val="191919" w:themeColor="background1" w:themeShade="1A"/>
          <w:sz w:val="28"/>
          <w:szCs w:val="28"/>
          <w:lang w:val="en-US"/>
        </w:rPr>
      </w:pPr>
      <w:r>
        <w:rPr>
          <w:b/>
          <w:color w:val="191919" w:themeColor="background1" w:themeShade="1A"/>
          <w:sz w:val="28"/>
          <w:szCs w:val="28"/>
          <w:lang w:val="en-US"/>
        </w:rPr>
        <w:t xml:space="preserve">Lecture 2. </w:t>
      </w:r>
      <w:r>
        <w:rPr>
          <w:b/>
          <w:bCs/>
          <w:color w:val="191919" w:themeColor="background1" w:themeShade="1A"/>
          <w:sz w:val="28"/>
          <w:szCs w:val="28"/>
          <w:lang w:val="en-US"/>
        </w:rPr>
        <w:t>Global production patterns</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A link to microeconomics: Specific Factors of production.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Production Factor International Movements.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Heckscher - Ohlin Factor - proportions theory.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A link to macroeconomics: Economies of scale and international location of production. </w:t>
      </w:r>
    </w:p>
    <w:p>
      <w:pPr>
        <w:shd w:val="clear" w:color="auto" w:fill="FFFFFF"/>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Limits to the International Labor Mobility.</w:t>
      </w:r>
    </w:p>
    <w:p>
      <w:pPr>
        <w:shd w:val="clear" w:color="auto" w:fill="FFFFFF"/>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rPr>
          <w:rFonts w:ascii="Times New Roman" w:hAnsi="Times New Roman" w:cs="Times New Roman"/>
          <w:b/>
          <w:bCs/>
          <w:color w:val="191919" w:themeColor="background1" w:themeShade="1A"/>
          <w:sz w:val="28"/>
          <w:szCs w:val="28"/>
          <w:lang w:val="en-US"/>
        </w:rPr>
      </w:pPr>
      <w:r>
        <w:rPr>
          <w:rFonts w:ascii="Times New Roman" w:hAnsi="Times New Roman" w:cs="Times New Roman"/>
          <w:b/>
          <w:bCs/>
          <w:color w:val="191919" w:themeColor="background1" w:themeShade="1A"/>
          <w:sz w:val="28"/>
          <w:szCs w:val="28"/>
          <w:lang w:val="en-US"/>
        </w:rPr>
        <w:t>1. Fa</w:t>
      </w:r>
      <w:r>
        <w:rPr>
          <w:rFonts w:ascii="Times New Roman" w:hAnsi="Times New Roman" w:cs="Times New Roman"/>
          <w:b/>
          <w:bCs/>
          <w:color w:val="191919" w:themeColor="background1" w:themeShade="1A"/>
          <w:sz w:val="28"/>
          <w:szCs w:val="28"/>
        </w:rPr>
        <w:t>с</w:t>
      </w:r>
      <w:r>
        <w:rPr>
          <w:rFonts w:ascii="Times New Roman" w:hAnsi="Times New Roman" w:cs="Times New Roman"/>
          <w:b/>
          <w:bCs/>
          <w:color w:val="191919" w:themeColor="background1" w:themeShade="1A"/>
          <w:sz w:val="28"/>
          <w:szCs w:val="28"/>
          <w:lang w:val="en-US"/>
        </w:rPr>
        <w:t>tors of production: capital and labour</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Factors of production are resources used by firms as inputs for a good or service to be produced. Factors of production are as follows: capital, labour, find natural resources.</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economic theory, the term “capital” refers to goods and money used to produce more goods and money. Classifications of capital vary most general distinction is the one made between physical, financial, and human capital.</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Physical capital is land, buildings, equipment, raw material; bonds, stocks, available bank balances are included in the financial capital. They both make a great contribution to production.</w:t>
      </w:r>
    </w:p>
    <w:p>
      <w:pPr>
        <w:spacing w:after="0" w:line="240" w:lineRule="auto"/>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To group capital into fixed capital and circulating capital is common practice. The former refers to means of production such as lend, buildings, machinery and various equipment. They are durable, that is, they participate in the production process over several years. Circulating capital includes both non-renewable goods, such as raw material and fuel, and the funds required to pay wages and other claims against the enterprise. Non-renewable goods are used up in production cycle and their value is fully transferred to the final product.</w:t>
      </w:r>
    </w:p>
    <w:p>
      <w:pPr>
        <w:spacing w:after="0" w:line="240" w:lineRule="auto"/>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Human capital is knowledge that contributes “know-how” to production. It is increased by research and disseminated though education. Investment in human capital results in new, technically improved, products and production processes which improve economic efficiency. Like physical capital, human capital is important enough to be an indicator of economic development of a nation.</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It is common, in economics, to understand labour as effort needed to satisfy human needs. It is one of the three leading elements of production. Labour has a variety of function: production of raw material, manufacturing of final products, transferring things from one place to another, management of production, and services like the ones rendered by physicians and teachers.</w:t>
      </w:r>
    </w:p>
    <w:p>
      <w:pPr>
        <w:spacing w:after="0" w:line="240" w:lineRule="auto"/>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One can classify labour into productive and unproductive. The former produces physical objects having utility. The latter is useful but does not produce material wealth. Labour of the musician is an example.</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Unlike other factors of production, for example capital, once workers are employed, their efficiency can vary greatly with organization of work and their motivation.</w:t>
      </w:r>
    </w:p>
    <w:p>
      <w:pPr>
        <w:spacing w:after="0" w:line="240" w:lineRule="auto"/>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Demand for labour is influenced by the demand for goods produced by workers, the proportion of wages in total production costs, etc. The supply of labour depends upon the size of population, geographic mobility, skills, education level(human capital), ets. Workers supply labour either individually or through trade unions. If demand for and supply of labour are not equilibrium, there is unemployment. The rate of unemployment is a percentage of the total labour force without a job. It is desirable for an economy to have the lowest possible unemployment rate and to achieve higher employment as neither full use of resources nor maximum level of output can be achieved in an economy having unemployment.</w:t>
      </w:r>
    </w:p>
    <w:p>
      <w:pPr>
        <w:spacing w:after="0" w:line="240" w:lineRule="auto"/>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Factors of production are combined together in different proportions in order to produce output. It is assumed in economics that one should choose the combination of factors which minimizes the cost of production and increases profits.</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third factors of production, natural resources, poses too many economic problems to be discussed here. We will analyze them in the following unit.</w:t>
      </w: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1.1 Historical schools and factors</w:t>
      </w:r>
    </w:p>
    <w:p>
      <w:pPr>
        <w:shd w:val="clear" w:color="auto" w:fill="FFFFFF"/>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The factors of production are resources that are the building blocks of the economy; they are what people use to produce goods and services. Economists divide the factors of production into four categories: land, labor, capital, and entrepreneurship. First factor of production is land, but this includes any natural resource used to produce goods and services. This includes not just land, but anything that comes from the land. Some common land or natural resources are water, oil, copper, natural gas, coal, and forests. Land resources are the raw materials in the production process. These resources can be renewable, such as forests, or nonrenewable such as oil or natural gas. The income that resource owners earn in return for land resources is called rent. Second factor of production is labor. Labor is the effort that people contribute to the production of goods and services. Labor resources include the work done by the waiter who brings your food at a local restaurant as well as the engineer who designed the bus that transports you to school. It includes an artist’s creation of a painting as well as the work of the pilot flying the airplane overhead. If you have ever been paid for a job, you have contributed labor resources to the production of goods or services. The income earned by labor resources is called wages and is the largest source of income for most people. Third factor of production is capital. Think of capital as the machinery, tools and buildings humans use to produce goods and services. Some common examples of capital include hammers, forklifts, conveyer belts, computers, and delivery vans. Capital differs based on the worker and the type of work being done. For example, a doctor may use a stethoscope and an examination room to provide medical services. A teacher may use textbooks, desks, and a whiteboard to produce education services. The income earned by owners of capital resources is interest. Fourth factor of production is entrepreneurship. An entrepreneur is a person who combines the other factors of production - land, labor, and capital - to earn a profit. The most successful entrepreneurs are innovators who find new ways produce goods and services or who develop new goods and services to bring to market. Without the entrepreneur combining land, labor, and capital in new ways, many of the innovations we see around us would not exist. Think of the entrepreneurship of Henry Ford or Bill Gates. Entrepreneurs are a vital engine of economic growth helping to build some of the largest firms in the world as well as some of the small businesses in your neighborhood. Entrepreneurs thrive in economies where they have the freedom to start businesses and buy resources freely. The payment to entrepreneurship is profit. </w:t>
      </w:r>
    </w:p>
    <w:p>
      <w:pPr>
        <w:spacing w:after="0" w:line="240" w:lineRule="auto"/>
        <w:jc w:val="both"/>
        <w:rPr>
          <w:rFonts w:ascii="Times New Roman" w:hAnsi="Times New Roman" w:cs="Times New Roman"/>
          <w:color w:val="191919" w:themeColor="background1" w:themeShade="1A"/>
          <w:sz w:val="28"/>
          <w:szCs w:val="28"/>
          <w:lang w:val="en-US"/>
        </w:rPr>
      </w:pPr>
    </w:p>
    <w:p>
      <w:pPr>
        <w:tabs>
          <w:tab w:val="left" w:pos="851"/>
        </w:tabs>
        <w:spacing w:after="0" w:line="240" w:lineRule="auto"/>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1.2 The main three factors of production</w:t>
      </w:r>
    </w:p>
    <w:p>
      <w:pPr>
        <w:spacing w:after="0" w:line="240" w:lineRule="auto"/>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Factors of production are as follows: capital, labour, and natural resources. In economic theory, the term «capital» refers to goods and money used to produce more goods and money. Classifications of capital vary with the purpose of the classification. The most general distinction is the one made between physical, financial, and human capital. Capital is land, buildings, equipment, raw materials; bonds, stocks, available bank balances are included in the financial capital. They both make great contribution to production. Group capital into fixed capital and circulating capital is common practice. The former refers to means of production such as land, buildings, machinery and various equipment. They are durable, that is, they participate in the production process over several years. Circulating capital includes both ion-renewable goods, such as raw materials and fuel, and the funds required to pay wages and other claims against the enterprise. Non-renewable goods TC used up in one production cycle and their value is fully transferred to the final product. Capital  is knowledge that contributes «know-how» to production. It is increased by research and disseminated through education. Investment in human capital results in new, technically improved, products and production processes which improve economic efficiency. Like physical capital, human capital is important enough to be an indicator of economic development of a nation is common, in economics, to understand labour as an effort needed to satisfy human needs. It is one of the three leading elements of production. Labour has a variety of functions: production of raw materials, manufacturing of final products, transferring things from one place to another, management of production, and services like the ones rendered by physicians and teachers can classify labour into productive and unproductive. The former produces physical objects having utility. The latter is useful but does not produce material wealth. Labour of the musician is an example. Other factors of production, for example capital, once workers are employed, their efficiency can vary greatly with organization of work and their motivation. For labour is influenced by the demand for goods produced by workers, the proportion of wages in total production costs, etc. The supply of labour depends upon the size of population, geographic mobility, skills, education level (human capital), etc. Workers supply labour either individually or through trade unions. If demand for and supply of labour are not in equilibrium, there is unemployment. The rate of unemployment is a percentage of the total labour force without a job. It is desirable for an economy to have the lowest possible unemployment rate and to achieve higher employment as neither full use of resources nor maximum level of output can be achieved in an economy having unemployment. of production are combined together in different proportions in order to produce output. It is assumed in economics that one should choose the combination of factors which minimizes the cost of production and increases profits. consider natural resources to be the third factor of production. They are a contribution to productive activity made by land (for example, a factory site or farm location), raw materials such as iron ore, timber, oil, water for crops and power production, forests and animals. Natural  resources, wheat, for example, are renewable; others such as iron ore are non-renewable and will eventually be used up. Economists know reduced supplies of non-renewable resources to result in their higher prices, which provide an incentive to look for natural or synthetic substitutes for them. The supply of land, an essential natural resource, is limited and it cannot be easily increased to meet an increase in demand except in certain cases. For example, the Dutch have been able to reclaim from the sea some areas of low-lying land. Essential characteristic of land is that it is durable, that is, land is not used up in the production </w:t>
      </w:r>
      <w:r>
        <w:rPr>
          <w:rFonts w:ascii="Times New Roman" w:hAnsi="Times New Roman" w:cs="Times New Roman"/>
          <w:color w:val="191919" w:themeColor="background1" w:themeShade="1A"/>
          <w:sz w:val="28"/>
          <w:szCs w:val="28"/>
          <w:lang w:val="en-US"/>
        </w:rPr>
        <w:t>process, although it may be depleted by use is, in some respects, close to physical capital, though the former is supplied by nature and man produces the latter. Nevertheless, applying labour to kill weeds or fertilizer to improve the soil, farmers can «produce» better land and raise its price of or income from land, as well as from other natural resources, is called rent. Land itself has no cost of production, so rent depends on the degree of scarcity and on the demand for it. Purposes for which land is used are due to its characteristics. Land can be used for housing or offices, for mining, or for building roads. Besides, it contributes to the production of crops, providing an environment that supplies water, air, and nutrients for plant growth. As a unique agricultural resource poses management problems for the farmer. In the first place, the farmer has to make a choice between buying and leasing it. The advantages and disadvantages depend on the farmer's financial position, on the availability of land for lease and purchase and some other factors. Purchasing land usually requires a larger capital, farmers with limited capital lease land and use their capital for machinery and other resources. consider a satisfactory lease to be the one that is profitable both for the landowner and for the tenant. A fair lease compensates both parties in proportion to their contributions to the farm business. Management problems may arise due to differences in land profitability in various farming branches and other industries. Economists know different crops and classes of animals to vary in profitability. The farmer has to study thoroughly the conditions on his farm to make a correct choice between alternative uses.</w:t>
      </w:r>
    </w:p>
    <w:p>
      <w:pPr>
        <w:spacing w:after="0" w:line="240" w:lineRule="auto"/>
        <w:jc w:val="both"/>
        <w:rPr>
          <w:rFonts w:ascii="Times New Roman" w:hAnsi="Times New Roman" w:cs="Times New Roman"/>
          <w:color w:val="191919" w:themeColor="background1" w:themeShade="1A"/>
          <w:sz w:val="28"/>
          <w:szCs w:val="28"/>
          <w:lang w:val="en-US"/>
        </w:rPr>
      </w:pPr>
    </w:p>
    <w:p>
      <w:pPr>
        <w:tabs>
          <w:tab w:val="left" w:pos="851"/>
        </w:tabs>
        <w:spacing w:after="0" w:line="240" w:lineRule="auto"/>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1.2.1 Criticism of the free factors of production</w:t>
      </w:r>
    </w:p>
    <w:p>
      <w:pPr>
        <w:tabs>
          <w:tab w:val="left" w:pos="851"/>
          <w:tab w:val="left" w:pos="993"/>
        </w:tabs>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b/>
      </w:r>
      <w:r>
        <w:rPr>
          <w:rFonts w:ascii="Times New Roman" w:hAnsi="Times New Roman" w:cs="Times New Roman"/>
          <w:color w:val="191919" w:themeColor="background1" w:themeShade="1A"/>
          <w:sz w:val="28"/>
          <w:szCs w:val="28"/>
          <w:lang w:val="en-US"/>
        </w:rPr>
        <w:t xml:space="preserve">Several economists have criticisms for the above factors of production economist Benham has objected to a broader meaning of land as a factor of production. As per him, it is convenient to consider only land as factor of production, rather than such elements as sunshine, climate etc. which does not enter directly into costs. Likewise, it is incorrect to group together the services of an untalented worker with that of professionals. Yet again, there is tiny tip in syndicating mutually as capital, as assorted as canals, diesel, seeds and machinery. It would consequently, be more appropriate to chunk collectively all standardized units, whether hectares of land, workers or capital goods and to regard each group as an individual factor of production. This method gives us a hefty integer of factors of production and each group is regarded as a separate factor. </w:t>
      </w:r>
      <w:r>
        <w:rPr>
          <w:rFonts w:ascii="Times New Roman" w:hAnsi="Times New Roman" w:cs="Times New Roman"/>
          <w:color w:val="191919" w:themeColor="background1" w:themeShade="1A"/>
          <w:sz w:val="28"/>
          <w:szCs w:val="28"/>
          <w:lang w:val="en-US"/>
        </w:rPr>
        <w:tab/>
      </w:r>
    </w:p>
    <w:p>
      <w:pPr>
        <w:tabs>
          <w:tab w:val="left" w:pos="567"/>
          <w:tab w:val="left" w:pos="993"/>
        </w:tabs>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b/>
      </w:r>
      <w:r>
        <w:rPr>
          <w:rFonts w:ascii="Times New Roman" w:hAnsi="Times New Roman" w:cs="Times New Roman"/>
          <w:color w:val="191919" w:themeColor="background1" w:themeShade="1A"/>
          <w:sz w:val="28"/>
          <w:szCs w:val="28"/>
          <w:lang w:val="en-US"/>
        </w:rPr>
        <w:t xml:space="preserve">Over and again, the distinction amidst land, labour and capital are not apparent. To take land and capital, it is said that land is a gift of nature whose supply cannot be amplified while capital is human made whose supply is amendable. This is not correct for the reason that the supply of land can also be greater than before by cleaning it, draining and irrigating it and fertilizing it by the pains of human and capital. The supply of land does not consign to its area alone, but to its productivity. Might regard each unit of a factor as discrete from other units of that factor, but one factor can be substituted for some other factor. For instance, land can be used intensively by employing more labour or more capital in the form of fertilizers, better seeds and superior techniques. By doing so, we substitute labour or capital for land. Likewise labour can be substituted for capital and capital for labour in a factor. In the former case, labour intensive techniques are used. </w:t>
      </w:r>
    </w:p>
    <w:p>
      <w:pPr>
        <w:tabs>
          <w:tab w:val="left" w:pos="567"/>
          <w:tab w:val="left" w:pos="993"/>
        </w:tabs>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b/>
      </w:r>
      <w:r>
        <w:rPr>
          <w:rFonts w:ascii="Times New Roman" w:hAnsi="Times New Roman" w:cs="Times New Roman"/>
          <w:color w:val="191919" w:themeColor="background1" w:themeShade="1A"/>
          <w:sz w:val="28"/>
          <w:szCs w:val="28"/>
          <w:lang w:val="en-US"/>
        </w:rPr>
        <w:t>The level of swap of one factor for another will, nevertheless depend on the most competent scheme of production to be used relatively to the cost of the factor to be substituted. We find that land, labour and capital frequently get mingled into one another and it is tricky to specify the involvement of each individually. For example, when land is vacant canals are dug and fences are erected, the efficiency of land enhances. But all these development on land are feasible by making capital investments and through labour. In such a condition, it is feasible to stipulate the involvement of land, labour and capital escalating efficiency. Likewise, the sum of money spent on cultivating and exercising workers is integrated under capital. So when such workers produce articles by functioning machines in a factory, they put in their labour as well as ability by using raw materials which are also the product of labour and machines used on land. Thus it is hard to unravel the contribution of land, labour and capital in such cases. The complexity begins as to whether the contribution of land, labour and capital should be taken as such, or of their services. If the community is to plan for the prospect or find out the production possibilities open to it, then the contribution of the factors of production should be measured. Keeping the outlook in view, land may be put to more fruitful uses, labour may be trained for diverse occupations requiring higher skills and capital may be used for producing more roundabout means of production and machinery. Thus «the central economic problem for any community is how to make the best use of its labour and other resources and for this purpose the community must consider the various alternatives. It must consider what the men and the land and the capital might contribute towards output if they were used in different ways and not merely what in fact they are contributing now». It is habitual not to treat organization as discrete from labour. This is ambiguous and misjudges the role of the entrepreneur as a factor of production. As a substance of statement, labour and entrepreneur are quite dissimilar from each other. An entrepreneur is a man of special managerial aptitude who controls, organizes and manages the entire business of a firm. It is he who utilizes all types of workers and puts them at the places where they are the most appropriate by quality of their education and training.</w:t>
      </w:r>
    </w:p>
    <w:p>
      <w:pPr>
        <w:spacing w:after="0" w:line="240" w:lineRule="auto"/>
        <w:jc w:val="both"/>
        <w:rPr>
          <w:rFonts w:ascii="Times New Roman" w:hAnsi="Times New Roman" w:cs="Times New Roman"/>
          <w:color w:val="191919" w:themeColor="background1" w:themeShade="1A"/>
          <w:sz w:val="28"/>
          <w:szCs w:val="28"/>
          <w:lang w:val="en-US"/>
        </w:rPr>
      </w:pPr>
    </w:p>
    <w:p>
      <w:pPr>
        <w:tabs>
          <w:tab w:val="left" w:pos="851"/>
        </w:tabs>
        <w:spacing w:after="0" w:line="240" w:lineRule="auto"/>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1.2.2 Significance of the free factors of production</w:t>
      </w:r>
    </w:p>
    <w:p>
      <w:pPr>
        <w:pStyle w:val="18"/>
        <w:numPr>
          <w:ilvl w:val="0"/>
          <w:numId w:val="4"/>
        </w:numPr>
        <w:shd w:val="clear" w:color="auto" w:fill="FFFFFF"/>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concept of the factor of production is of great significance in modern economic study. It is used in the theory of production in which the a range of combinations of factors of production help in generating output when a firm functions under rising or declining costs in the short-run and when the proceeds to scale boosts or shrinks in the long run. Moreover, we can also know how the least cost combination of factors can be attained by a firm.</w:t>
      </w:r>
    </w:p>
    <w:p>
      <w:pPr>
        <w:pStyle w:val="18"/>
        <w:numPr>
          <w:ilvl w:val="0"/>
          <w:numId w:val="4"/>
        </w:numPr>
        <w:shd w:val="clear" w:color="auto" w:fill="FFFFFF"/>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theory of cost of production also depends upon the combination of factors engaged in business and the prices that are paid to them. From the point of view of the theory of costs of production, factors of production are divided as fixed factors are variable factors.</w:t>
      </w:r>
    </w:p>
    <w:p>
      <w:pPr>
        <w:pStyle w:val="18"/>
        <w:numPr>
          <w:ilvl w:val="0"/>
          <w:numId w:val="4"/>
        </w:numPr>
        <w:shd w:val="clear" w:color="auto" w:fill="FFFFFF"/>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Fixed factors are those whose costs do not vary with the variation in output, such as machinery, tube well etc. Variable factors are those whose quantities and costs vary with the variation in output. Larger outputs entail larger quantities of labour, raw materials power etc. So long as a firm covers the costs of production of the variable factors it employs, it will persist to produce even if it fails to cover the costs of production of the hired factors and sustains loss. But this is only feasible in the short-run; in the long-run it must cover the costs of production of both the fixed and variable factors. Thus the distinction amidst fixed and variable factors is of much value for the theory of the firm.</w:t>
      </w:r>
    </w:p>
    <w:p>
      <w:pPr>
        <w:pStyle w:val="18"/>
        <w:numPr>
          <w:ilvl w:val="0"/>
          <w:numId w:val="4"/>
        </w:numPr>
        <w:shd w:val="clear" w:color="auto" w:fill="FFFFFF"/>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Finally the concept of factor of production is used in elucidating the theory of factor-pricing. For this idea, factors of production are divided into specific and non-specific. A factor of production which is specific in use earns a higher reward than a non-specific factor. This also solves the problem of distribution of earnings to the various resource owners. </w:t>
      </w:r>
    </w:p>
    <w:p>
      <w:pPr>
        <w:tabs>
          <w:tab w:val="left" w:pos="851"/>
        </w:tabs>
        <w:spacing w:after="0" w:line="240" w:lineRule="auto"/>
        <w:jc w:val="both"/>
        <w:rPr>
          <w:rFonts w:ascii="Times New Roman" w:hAnsi="Times New Roman" w:cs="Times New Roman"/>
          <w:color w:val="191919" w:themeColor="background1" w:themeShade="1A"/>
          <w:sz w:val="28"/>
          <w:szCs w:val="28"/>
          <w:lang w:val="en-US"/>
        </w:rPr>
      </w:pPr>
    </w:p>
    <w:p>
      <w:pPr>
        <w:tabs>
          <w:tab w:val="left" w:pos="851"/>
        </w:tabs>
        <w:spacing w:after="0" w:line="240" w:lineRule="auto"/>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1.3 The fourth factor of production</w:t>
      </w:r>
    </w:p>
    <w:p>
      <w:pPr>
        <w:shd w:val="clear" w:color="auto" w:fill="FFFFFF"/>
        <w:spacing w:after="0" w:line="240" w:lineRule="auto"/>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Some economists also include entrepreneurship as a factor of production. Like labour, entrepreneurship is a human input factor but it refers to more than just work; it refers to the creativity and initiative needed to start a business, develop new goods and services, or improve on the development and distribution of existing products. </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Consider entrepreneurship as a factor of production, leaving debate aside. In markets, entrepreneurs combine the other factors of production, land, labour, and capital in order to make a profit. Often these entrepreneurs are seen as innovators, developing new ways to produce and new products. In a planned economy central planners decide how land, labour, and capital should be used to provide for maximum benefit for all citizens. Of course, just as with market entrepreneurs, the benefits may mostly accrue to the entrepreneurs themselves. Word has been used in other ways. The sociologist C. Wright Mills refers to «new entrepreneurs» who work within and between corporate and government bureaucracies in new and different ways. Others refer to «political entrepreneurs», i.e., politicians and other actors. Controversy rages about the benefits produced by entrepreneurship. But the real issue is about how well institutions they operate in (markets, planning, bureaucracies, and government) serve the public. This concerns such issues as the relative importance of failure and government failure. Definitions of entrepreneurship can be found in the literature describing business processes. The earliest definition of entrepreneurship, dating from the eighteenth century, used it as an economic term describing the process of bearing the risk of buying at certain prices and selling at uncertain prices. Other, later commentators broadened the definition to include the concept of bringing together the factors of production. This definition led others to question whether there was any unique entrepreneurial function or whether it was simply a form of management. Early this century, the concept of innovation was added to the definition of entrepreneur-ship. This innovation could be process innovation, market innovation, product innovation, factor innovation, and even organizational innovation. Later definitions described entrepreneurship as involving the creation of new enterprises and that the entrepreneur is the founder. There is no standard definition of entrepreneur in economic theory, but are identified by three possible elements of the entrepreneurial function:</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organization of production</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Risk</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Innovation </w:t>
      </w:r>
    </w:p>
    <w:p>
      <w:pPr>
        <w:spacing w:after="0" w:line="240" w:lineRule="auto"/>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Entrepreneur is the factor of production which brings together the other factors in the production process. Land and capital are inert objects. Entrepreneur buys land, hires labour and organizes all three factors to produce goods and services for sale, so is seen as the key to production in economy. It could be argued that if there were no entrepreneurs, there would be no production. Production is a risky process. In many industries, land, labour and capital have to be purchased before there is any certainty that the finished product will be sold. For instance, a car manufacturer is likely to make cars without there being any firm orders for their sale. If it makes too many cars, they will have to be stockpiled for sale at a later date. Too big a stockpile and too few orders could result in the bankruptcy of the firm. So firms face uncertainties and have to take risks. Some risks are quantifiable and can be insured against. A firm can insure itself against the risk of fire damage or theft. However, other risks such as whether a new production technique will lead to a reduction in costs, are unquantifiable and therefore cannot be insured against. are those who take unquantifiable risks and suffer the consequences if they get it wrong. Entrepreneur is someone who innovates within an organization. New products are being launched all the time but evidence suggest that only a few will be successful. New production techniques are also being constantly pioneered with varying degrees of success. The most likely classified as entrepreneurs are owner managers of small firms because they combine all these three entrepreneurial functions. He organizes production because he is a manager of the company. He takes risks because he has put money into the firm to start it and is producing innovative products which could well fail. This person is likely to have sufficient capital to be able to finance the setting up to the firm, have total control over the organization of production and be exposed to considerable risk if the enterprise fails.) Managers, if they take risks on behalf of their companies and if they are responsible for innovation. A manager of a company may have no shares in the company for which he works, so he does not risk own capital. He takes decisions which involves an uncertain outcome. For example if a firm start to produce a new flavor of yoghurt. The flavor might be very successful or not, so the outcome of a decision is uncertain. Managers of large companies can be as entrepreneurial as owner-managers of small companies if they are responsible for pushing their companies into new areas. If managers work together as a team and innovate or take risks, then the group is entrepreneurial.) Shareholders because risk their capital. They are backing change and may give advice to the person setting up the company. If the company fails, shareholders lose their money. On the other hand, they are unlikely to be involved in organizing production or innovation in the firm. So some economists argue that capitalists are in some senses entrepreneurs, others disagree is the revenue left over after the other factors of production have been paid. If the entrepreneur is successful, there will be a large residue after wages, interest and rents have been paid. If the entrepreneur is unsuccessful, profits will be negative and the firm could go bankrupt. But not all profit is the reward for entrepreneurship. Only abnormal or pure profit can be seen as the payment which entrepreneurs receive. In normal profit is opportunity cost of factors such as labour and capital which receive no money payment for their use. - practical or financial help that is provided, often by the government, for people. The role of entrepreneurship and an entrepreneurial culture in economic and social development has often been underestimated. Over the years, however, it has become increasingly apparent that entrepreneurship does indeed contribute to economic. A number of arguments have been put forward as to why entrep</w:t>
      </w:r>
      <w:r>
        <w:rPr>
          <w:rFonts w:ascii="Times New Roman" w:hAnsi="Times New Roman" w:cs="Times New Roman"/>
          <w:color w:val="191919" w:themeColor="background1" w:themeShade="1A"/>
          <w:sz w:val="28"/>
          <w:szCs w:val="28"/>
          <w:lang w:val="en-US"/>
        </w:rPr>
        <w:t xml:space="preserve">reneurs play such an important role in the economy:: Without innovation, the economy would stagnate. There would be no improvements in living standards. Innovation is therefore vital if economic welfare is to increase. Job creation: successful entrepreneurs create jobs. Also small firms can help ease the unemployment problems. creation: Entrepreneurs create wealth by their activities. The small firms of today will become the large successful firms tomorrow. But innovation can lead to failure as well as success. For example in UK and USA, small firms entrepreneurs has been seen as a folk hero, have had lower economic growth rates than economies such as Japan and Germany where greater stress is placed on team work and co-operation.is the owner manager of a small company. So government can best support the creation of an enterprise culture by measures which will support the creation and expansion of small firms in the economy. Economic theory, however, need have nothing to do with small firms. Both innovation and risk taking can be as much if not more the concern of large firms as small firms. recent years, there has been a move towards paying managers by results. Some managing directors, for instance, are paid a basic salary but can earn far more if their company achieves a ange of objectives. These include increases in sales, increases in profits, increases in the share price of the company or reductions in the form of cash or shares in the company. The idea is to make managers who are employees of the firm accept more risk. If the firm does well, the managers will do well. If the firm does badly, so too do the managers. </w:t>
      </w:r>
    </w:p>
    <w:p>
      <w:pPr>
        <w:pStyle w:val="2"/>
        <w:shd w:val="clear" w:color="auto" w:fill="FDFDFF"/>
        <w:rPr>
          <w:rFonts w:ascii="Times New Roman" w:hAnsi="Times New Roman" w:cs="Times New Roman"/>
          <w:b/>
          <w:color w:val="191919" w:themeColor="background1" w:themeShade="1A"/>
          <w:sz w:val="28"/>
          <w:szCs w:val="28"/>
          <w:lang w:val="en-US"/>
        </w:rPr>
      </w:pPr>
    </w:p>
    <w:p>
      <w:pPr>
        <w:pStyle w:val="2"/>
        <w:shd w:val="clear" w:color="auto" w:fill="FDFDFF"/>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2 International factor movement</w:t>
      </w:r>
    </w:p>
    <w:p>
      <w:pPr>
        <w:pStyle w:val="10"/>
        <w:shd w:val="clear" w:color="auto" w:fill="FDFDFF"/>
        <w:spacing w:before="0" w:beforeAutospacing="0" w:after="0" w:afterAutospacing="0"/>
        <w:ind w:firstLine="708"/>
        <w:jc w:val="both"/>
        <w:rPr>
          <w:color w:val="191919" w:themeColor="background1" w:themeShade="1A"/>
          <w:sz w:val="28"/>
          <w:szCs w:val="28"/>
          <w:lang w:val="en-US"/>
        </w:rPr>
      </w:pPr>
      <w:bookmarkStart w:id="0" w:name="468"/>
      <w:bookmarkEnd w:id="0"/>
      <w:r>
        <w:rPr>
          <w:color w:val="191919" w:themeColor="background1" w:themeShade="1A"/>
          <w:sz w:val="28"/>
          <w:szCs w:val="28"/>
          <w:lang w:val="en-US"/>
        </w:rPr>
        <w:t>International capital movement is a rather developed component of the international flows of factors of production. Its nature consists in the partial removal of the national capital, after which it is included to the manufacturing process or other turnover in other countries. Under modern conditions, the capital mobility is relatively high, although it has more restrictions than the international trade. The growth rates of capital movements between countries are several times greater than the growth rates of both production and international trade.</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International capital movements can replace or complement the international trade, if the efficiency of use of capital is higher than the result of international trade.</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International capital migration is not a physical movement of production means, but </w:t>
      </w:r>
      <w:r>
        <w:rPr>
          <w:rStyle w:val="14"/>
          <w:b w:val="0"/>
          <w:color w:val="191919" w:themeColor="background1" w:themeShade="1A"/>
          <w:sz w:val="28"/>
          <w:szCs w:val="28"/>
          <w:lang w:val="en-US"/>
        </w:rPr>
        <w:t>a financial transaction:</w:t>
      </w:r>
      <w:r>
        <w:rPr>
          <w:rStyle w:val="14"/>
          <w:color w:val="191919" w:themeColor="background1" w:themeShade="1A"/>
          <w:sz w:val="28"/>
          <w:szCs w:val="28"/>
          <w:lang w:val="en-US"/>
        </w:rPr>
        <w:t> </w:t>
      </w:r>
      <w:r>
        <w:rPr>
          <w:color w:val="191919" w:themeColor="background1" w:themeShade="1A"/>
          <w:sz w:val="28"/>
          <w:szCs w:val="28"/>
          <w:lang w:val="en-US"/>
        </w:rPr>
        <w:t>loans, purchase and sale of securities, the investment.</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Specific forms of international capital movements are distinguished by the following features: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sources of capital origin;</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the nature of use of capital;</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terms of capital investment;</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the purpose of capital investment .</w:t>
      </w:r>
    </w:p>
    <w:p>
      <w:pPr>
        <w:pStyle w:val="10"/>
        <w:shd w:val="clear" w:color="auto" w:fill="FDFDFF"/>
        <w:spacing w:before="0" w:beforeAutospacing="0" w:after="0" w:afterAutospacing="0"/>
        <w:jc w:val="both"/>
        <w:rPr>
          <w:color w:val="191919" w:themeColor="background1" w:themeShade="1A"/>
          <w:sz w:val="28"/>
          <w:szCs w:val="28"/>
          <w:lang w:val="en-US"/>
        </w:rPr>
      </w:pPr>
      <w:r>
        <w:rPr>
          <w:i/>
          <w:iCs/>
          <w:color w:val="191919" w:themeColor="background1" w:themeShade="1A"/>
          <w:sz w:val="28"/>
          <w:szCs w:val="28"/>
          <w:lang w:val="en-US"/>
        </w:rPr>
        <w:t>By the sources of origin, capital is divided into official capital and private capital.</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rStyle w:val="14"/>
          <w:b w:val="0"/>
          <w:color w:val="191919" w:themeColor="background1" w:themeShade="1A"/>
          <w:sz w:val="28"/>
          <w:szCs w:val="28"/>
          <w:lang w:val="en-US"/>
        </w:rPr>
        <w:t>Official capital</w:t>
      </w:r>
      <w:r>
        <w:rPr>
          <w:rStyle w:val="14"/>
          <w:color w:val="191919" w:themeColor="background1" w:themeShade="1A"/>
          <w:sz w:val="28"/>
          <w:szCs w:val="28"/>
          <w:lang w:val="en-US"/>
        </w:rPr>
        <w:t> </w:t>
      </w:r>
      <w:r>
        <w:rPr>
          <w:color w:val="191919" w:themeColor="background1" w:themeShade="1A"/>
          <w:sz w:val="28"/>
          <w:szCs w:val="28"/>
          <w:lang w:val="en-US"/>
        </w:rPr>
        <w:t>is funds of the state budget or the budget of international organizations (IMF, the World Bank, etc.), which move abroad or from abroad according to the decisions of governments or intergovernmental organizations. Its source is money of taxpayers.</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rStyle w:val="14"/>
          <w:b w:val="0"/>
          <w:color w:val="191919" w:themeColor="background1" w:themeShade="1A"/>
          <w:sz w:val="28"/>
          <w:szCs w:val="28"/>
          <w:lang w:val="en-US"/>
        </w:rPr>
        <w:t>Private capital</w:t>
      </w:r>
      <w:r>
        <w:rPr>
          <w:rStyle w:val="14"/>
          <w:color w:val="191919" w:themeColor="background1" w:themeShade="1A"/>
          <w:sz w:val="28"/>
          <w:szCs w:val="28"/>
          <w:lang w:val="en-US"/>
        </w:rPr>
        <w:t> </w:t>
      </w:r>
      <w:r>
        <w:rPr>
          <w:color w:val="191919" w:themeColor="background1" w:themeShade="1A"/>
          <w:sz w:val="28"/>
          <w:szCs w:val="28"/>
          <w:lang w:val="en-US"/>
        </w:rPr>
        <w:t>is funds of private firms, banks and other non-state organizations, which are provided in the form of investment, commercial loans, interbank crediting.</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By the nature of use, capital is divided into business capital and loan capital.</w:t>
      </w:r>
    </w:p>
    <w:p>
      <w:pPr>
        <w:pStyle w:val="10"/>
        <w:shd w:val="clear" w:color="auto" w:fill="FDFDFF"/>
        <w:spacing w:before="0" w:beforeAutospacing="0" w:after="0" w:afterAutospacing="0"/>
        <w:jc w:val="both"/>
        <w:rPr>
          <w:color w:val="191919" w:themeColor="background1" w:themeShade="1A"/>
          <w:sz w:val="28"/>
          <w:szCs w:val="28"/>
          <w:lang w:val="en-US"/>
        </w:rPr>
      </w:pPr>
      <w:r>
        <w:rPr>
          <w:rStyle w:val="14"/>
          <w:b w:val="0"/>
          <w:color w:val="191919" w:themeColor="background1" w:themeShade="1A"/>
          <w:sz w:val="28"/>
          <w:szCs w:val="28"/>
          <w:lang w:val="en-US"/>
        </w:rPr>
        <w:t>Business capital</w:t>
      </w:r>
      <w:r>
        <w:rPr>
          <w:rStyle w:val="14"/>
          <w:color w:val="191919" w:themeColor="background1" w:themeShade="1A"/>
          <w:sz w:val="28"/>
          <w:szCs w:val="28"/>
          <w:lang w:val="en-US"/>
        </w:rPr>
        <w:t> </w:t>
      </w:r>
      <w:r>
        <w:rPr>
          <w:color w:val="191919" w:themeColor="background1" w:themeShade="1A"/>
          <w:sz w:val="28"/>
          <w:szCs w:val="28"/>
          <w:lang w:val="en-US"/>
        </w:rPr>
        <w:t>is funds that are directly or indirectly invested in the production for profit earning. It is usually private capital.</w:t>
      </w:r>
    </w:p>
    <w:p>
      <w:pPr>
        <w:pStyle w:val="10"/>
        <w:shd w:val="clear" w:color="auto" w:fill="FDFDFF"/>
        <w:spacing w:before="0" w:beforeAutospacing="0" w:after="0" w:afterAutospacing="0"/>
        <w:jc w:val="both"/>
        <w:rPr>
          <w:color w:val="191919" w:themeColor="background1" w:themeShade="1A"/>
          <w:sz w:val="28"/>
          <w:szCs w:val="28"/>
          <w:lang w:val="en-US"/>
        </w:rPr>
      </w:pPr>
      <w:r>
        <w:rPr>
          <w:rStyle w:val="14"/>
          <w:b w:val="0"/>
          <w:color w:val="191919" w:themeColor="background1" w:themeShade="1A"/>
          <w:sz w:val="28"/>
          <w:szCs w:val="28"/>
          <w:lang w:val="en-US"/>
        </w:rPr>
        <w:t>Loan capital</w:t>
      </w:r>
      <w:r>
        <w:rPr>
          <w:rStyle w:val="14"/>
          <w:color w:val="191919" w:themeColor="background1" w:themeShade="1A"/>
          <w:sz w:val="28"/>
          <w:szCs w:val="28"/>
          <w:lang w:val="en-US"/>
        </w:rPr>
        <w:t> </w:t>
      </w:r>
      <w:r>
        <w:rPr>
          <w:color w:val="191919" w:themeColor="background1" w:themeShade="1A"/>
          <w:sz w:val="28"/>
          <w:szCs w:val="28"/>
          <w:lang w:val="en-US"/>
        </w:rPr>
        <w:t>is funds that are provided to a borrower to obtain a given percentage. On an international scale, loan capital is basically official capital.</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 xml:space="preserve">By terms of investment, capital is divided into short-term, medium-term and long-term capital. </w:t>
      </w:r>
      <w:r>
        <w:rPr>
          <w:rStyle w:val="14"/>
          <w:b w:val="0"/>
          <w:color w:val="191919" w:themeColor="background1" w:themeShade="1A"/>
          <w:sz w:val="28"/>
          <w:szCs w:val="28"/>
          <w:lang w:val="en-US"/>
        </w:rPr>
        <w:t>Short-term capital</w:t>
      </w:r>
      <w:r>
        <w:rPr>
          <w:rStyle w:val="14"/>
          <w:color w:val="191919" w:themeColor="background1" w:themeShade="1A"/>
          <w:sz w:val="28"/>
          <w:szCs w:val="28"/>
          <w:lang w:val="en-US"/>
        </w:rPr>
        <w:t> </w:t>
      </w:r>
      <w:r>
        <w:rPr>
          <w:color w:val="191919" w:themeColor="background1" w:themeShade="1A"/>
          <w:sz w:val="28"/>
          <w:szCs w:val="28"/>
          <w:lang w:val="en-US"/>
        </w:rPr>
        <w:t xml:space="preserve">is capital investment for less than one year, mainly in the form of the trade credit. </w:t>
      </w:r>
      <w:r>
        <w:rPr>
          <w:rStyle w:val="14"/>
          <w:b w:val="0"/>
          <w:color w:val="191919" w:themeColor="background1" w:themeShade="1A"/>
          <w:sz w:val="28"/>
          <w:szCs w:val="28"/>
          <w:lang w:val="en-US"/>
        </w:rPr>
        <w:t>Medium-term and long-term capital</w:t>
      </w:r>
      <w:r>
        <w:rPr>
          <w:rStyle w:val="14"/>
          <w:color w:val="191919" w:themeColor="background1" w:themeShade="1A"/>
          <w:sz w:val="28"/>
          <w:szCs w:val="28"/>
          <w:lang w:val="en-US"/>
        </w:rPr>
        <w:t> </w:t>
      </w:r>
      <w:r>
        <w:rPr>
          <w:color w:val="191919" w:themeColor="background1" w:themeShade="1A"/>
          <w:sz w:val="28"/>
          <w:szCs w:val="28"/>
          <w:lang w:val="en-US"/>
        </w:rPr>
        <w:t>is capital investment for more than one year. All investments of business capital are mainly in the form of direct investments, as well as in the form of state credits.</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 xml:space="preserve">By the purpose of investment, capital is divided into direct and portfolio investment. </w:t>
      </w:r>
      <w:r>
        <w:rPr>
          <w:rStyle w:val="14"/>
          <w:b w:val="0"/>
          <w:color w:val="191919" w:themeColor="background1" w:themeShade="1A"/>
          <w:sz w:val="28"/>
          <w:szCs w:val="28"/>
          <w:lang w:val="en-US"/>
        </w:rPr>
        <w:t>Direct investment</w:t>
      </w:r>
      <w:r>
        <w:rPr>
          <w:rStyle w:val="14"/>
          <w:color w:val="191919" w:themeColor="background1" w:themeShade="1A"/>
          <w:sz w:val="28"/>
          <w:szCs w:val="28"/>
          <w:lang w:val="en-US"/>
        </w:rPr>
        <w:t> </w:t>
      </w:r>
      <w:r>
        <w:rPr>
          <w:color w:val="191919" w:themeColor="background1" w:themeShade="1A"/>
          <w:sz w:val="28"/>
          <w:szCs w:val="28"/>
          <w:lang w:val="en-US"/>
        </w:rPr>
        <w:t>is capital investment in order to acquire control over the object of allocation of capital. It is mainly export of private business capital.</w:t>
      </w:r>
    </w:p>
    <w:p>
      <w:pPr>
        <w:pStyle w:val="10"/>
        <w:shd w:val="clear" w:color="auto" w:fill="FDFDFF"/>
        <w:spacing w:before="0" w:beforeAutospacing="0" w:after="0" w:afterAutospacing="0"/>
        <w:jc w:val="both"/>
        <w:rPr>
          <w:color w:val="191919" w:themeColor="background1" w:themeShade="1A"/>
          <w:sz w:val="28"/>
          <w:szCs w:val="28"/>
          <w:lang w:val="en-US"/>
        </w:rPr>
      </w:pPr>
      <w:r>
        <w:rPr>
          <w:rStyle w:val="14"/>
          <w:b w:val="0"/>
          <w:color w:val="191919" w:themeColor="background1" w:themeShade="1A"/>
          <w:sz w:val="28"/>
          <w:szCs w:val="28"/>
          <w:lang w:val="en-US"/>
        </w:rPr>
        <w:t>Portfolio investment</w:t>
      </w:r>
      <w:r>
        <w:rPr>
          <w:rStyle w:val="14"/>
          <w:color w:val="191919" w:themeColor="background1" w:themeShade="1A"/>
          <w:sz w:val="28"/>
          <w:szCs w:val="28"/>
          <w:lang w:val="en-US"/>
        </w:rPr>
        <w:t> </w:t>
      </w:r>
      <w:r>
        <w:rPr>
          <w:color w:val="191919" w:themeColor="background1" w:themeShade="1A"/>
          <w:sz w:val="28"/>
          <w:szCs w:val="28"/>
          <w:lang w:val="en-US"/>
        </w:rPr>
        <w:t>is capital investment in foreign securities without the right of control over the investment object. It is mostly export of private business capital as well.</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From a practical standpoint, the most important fact is the functional division of capital into direct and portfolio investment. The major role in international capital movements is played by international loans and bank deposits.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The forms of international capital movements are defined in the investment and banking laws of each country.</w:t>
      </w:r>
    </w:p>
    <w:p>
      <w:pPr>
        <w:pStyle w:val="4"/>
        <w:shd w:val="clear" w:color="auto" w:fill="FDFDFF"/>
        <w:jc w:val="both"/>
        <w:rPr>
          <w:rFonts w:ascii="Times New Roman" w:hAnsi="Times New Roman" w:cs="Times New Roman"/>
          <w:color w:val="191919" w:themeColor="background1" w:themeShade="1A"/>
          <w:sz w:val="28"/>
          <w:szCs w:val="28"/>
          <w:lang w:val="en-US"/>
        </w:rPr>
      </w:pPr>
      <w:bookmarkStart w:id="1" w:name="692"/>
      <w:bookmarkEnd w:id="1"/>
      <w:r>
        <w:rPr>
          <w:rFonts w:ascii="Times New Roman" w:hAnsi="Times New Roman" w:cs="Times New Roman"/>
          <w:color w:val="191919" w:themeColor="background1" w:themeShade="1A"/>
          <w:sz w:val="28"/>
          <w:szCs w:val="28"/>
          <w:lang w:val="en-US"/>
        </w:rPr>
        <w:t>Foreign Direct Investment</w:t>
      </w:r>
    </w:p>
    <w:p>
      <w:pPr>
        <w:pStyle w:val="5"/>
        <w:shd w:val="clear" w:color="auto" w:fill="FDFDFF"/>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The place of foreign direct investment within international capital movements</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Foreign direct investment (FDI) has a special place among the forms of international capital movements. This is due to the following two main reasons: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foreign direct investment is a real investment, which, unlike portfolio investment, is not purely financial assets denominated in the national currency. It is invested in business, land and other capital goods;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foreign direct investment, unlike portfolio investment, usually provides a managerial control over the object of the invested capital.</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Prior to the emergence of transnational corporations (TNCs) all private foreign investments were mainly "portfolio" ones. With the appearance of TNCs (i.e. enterprises that own or control the production of goods and services outside of the country in which they are based), part of international capital movements take the form of foreign direct investment.</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Foreign direct investment is a kind of foreign investment, intended to invest in production and to provide the control over the activities of enterprises by means of acquisition of a controlling interest. The proportion that determines the ownership varies in different countries. In the USA, formally a direct foreign investment is any capital investment if an investor holds a 10% interest in the company. Foreign direct investment covers all types of investment, either buying new shares, or simple crediting, if only an investing firm holds more than 10% interest in a foreign company. The proportion of participation in the company's capital can be obtained in exchange for technology, skilled stuff, markets, etc.</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Investor's property (complete or partial) and his control over the foreign enterprise, which becomes part of the organizational structure of TNCs as its branch or subsidiary company, are the main differences of foreign direct investment from other types of investing.</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The hallmark of foreign direct investment can be considered a prevailing of the sales of the product, produced abroad with the help of FDI, over the sales of domestic products in the form of trade exports.</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The factors that affect the growth of foreign direct investment and make proactive growth of FDI compared to the growth of the world trade (as well as GDP of the industrialized countries) are as follows: integration of production, its evolution towards a so-called international production; a growing role of TNCs; economic policies of the industrialized countries to support economic growth and employment; the trend of the developing countries and countries with economies in transition to overcome the crisis of the economy and social sphere; environmental factors that encourage the developed countries to transfer harmful production into the developing countries. When the government participates in foreign direct investment, their additional motive may be the achievement of certain political objectives: providing strategic resources, expanding its sphere of influence.</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Foreign direct investment is the basis of TNCs domination in the world market. They allow the transnational corporations to use enterprises in foreign countries for producing and marketing of products and disseminating rapidly new products and new technologies at the international level and, thus, enhance their competitiveness. As far as they are concerned, FDI are motivated ultimately by profits.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The structure of the main factors of foreign direct investment can be presented as follows.</w:t>
      </w:r>
    </w:p>
    <w:p>
      <w:pPr>
        <w:pStyle w:val="10"/>
        <w:shd w:val="clear" w:color="auto" w:fill="FDFDFF"/>
        <w:spacing w:before="0" w:beforeAutospacing="0" w:after="0" w:afterAutospacing="0"/>
        <w:jc w:val="both"/>
        <w:rPr>
          <w:color w:val="191919" w:themeColor="background1" w:themeShade="1A"/>
          <w:sz w:val="28"/>
          <w:szCs w:val="28"/>
          <w:lang w:val="en-US"/>
        </w:rPr>
      </w:pPr>
      <w:r>
        <w:rPr>
          <w:rStyle w:val="14"/>
          <w:b w:val="0"/>
          <w:color w:val="191919" w:themeColor="background1" w:themeShade="1A"/>
          <w:sz w:val="28"/>
          <w:szCs w:val="28"/>
          <w:lang w:val="en-US"/>
        </w:rPr>
        <w:t>Marketing factors:</w:t>
      </w:r>
      <w:r>
        <w:rPr>
          <w:rStyle w:val="14"/>
          <w:color w:val="191919" w:themeColor="background1" w:themeShade="1A"/>
          <w:sz w:val="28"/>
          <w:szCs w:val="28"/>
          <w:lang w:val="en-US"/>
        </w:rPr>
        <w:t> </w:t>
      </w:r>
      <w:r>
        <w:rPr>
          <w:color w:val="191919" w:themeColor="background1" w:themeShade="1A"/>
          <w:sz w:val="28"/>
          <w:szCs w:val="28"/>
          <w:lang w:val="en-US"/>
        </w:rPr>
        <w:t>1) market size, 2) market growth, 3) a tend to hold a market segment, 4) a tend to succeed in export of parent company, 5) the need to maintain close contact with customers, 6) dissatisfaction with the existing state of market, 7) export base, 8) following the buyers, 9) following the competition.</w:t>
      </w:r>
    </w:p>
    <w:p>
      <w:pPr>
        <w:pStyle w:val="10"/>
        <w:shd w:val="clear" w:color="auto" w:fill="FDFDFF"/>
        <w:spacing w:before="0" w:beforeAutospacing="0" w:after="0" w:afterAutospacing="0"/>
        <w:jc w:val="both"/>
        <w:rPr>
          <w:color w:val="191919" w:themeColor="background1" w:themeShade="1A"/>
          <w:sz w:val="28"/>
          <w:szCs w:val="28"/>
          <w:lang w:val="en-US"/>
        </w:rPr>
      </w:pPr>
      <w:r>
        <w:rPr>
          <w:rStyle w:val="14"/>
          <w:b w:val="0"/>
          <w:color w:val="191919" w:themeColor="background1" w:themeShade="1A"/>
          <w:sz w:val="28"/>
          <w:szCs w:val="28"/>
          <w:lang w:val="en-US"/>
        </w:rPr>
        <w:t>Trade restrictions:</w:t>
      </w:r>
      <w:r>
        <w:rPr>
          <w:rStyle w:val="14"/>
          <w:color w:val="191919" w:themeColor="background1" w:themeShade="1A"/>
          <w:sz w:val="28"/>
          <w:szCs w:val="28"/>
          <w:lang w:val="en-US"/>
        </w:rPr>
        <w:t> </w:t>
      </w:r>
      <w:r>
        <w:rPr>
          <w:color w:val="191919" w:themeColor="background1" w:themeShade="1A"/>
          <w:sz w:val="28"/>
          <w:szCs w:val="28"/>
          <w:lang w:val="en-US"/>
        </w:rPr>
        <w:t>1) trade barriers, 2) preference of domestic goods by the local consumers.</w:t>
      </w:r>
    </w:p>
    <w:p>
      <w:pPr>
        <w:pStyle w:val="10"/>
        <w:shd w:val="clear" w:color="auto" w:fill="FDFDFF"/>
        <w:spacing w:before="0" w:beforeAutospacing="0" w:after="0" w:afterAutospacing="0"/>
        <w:jc w:val="both"/>
        <w:rPr>
          <w:color w:val="191919" w:themeColor="background1" w:themeShade="1A"/>
          <w:sz w:val="28"/>
          <w:szCs w:val="28"/>
          <w:lang w:val="en-US"/>
        </w:rPr>
      </w:pPr>
      <w:r>
        <w:rPr>
          <w:rStyle w:val="14"/>
          <w:b w:val="0"/>
          <w:color w:val="191919" w:themeColor="background1" w:themeShade="1A"/>
          <w:sz w:val="28"/>
          <w:szCs w:val="28"/>
          <w:lang w:val="en-US"/>
        </w:rPr>
        <w:t>Cost factors:</w:t>
      </w:r>
      <w:r>
        <w:rPr>
          <w:rStyle w:val="14"/>
          <w:color w:val="191919" w:themeColor="background1" w:themeShade="1A"/>
          <w:sz w:val="28"/>
          <w:szCs w:val="28"/>
          <w:lang w:val="en-US"/>
        </w:rPr>
        <w:t> </w:t>
      </w:r>
      <w:r>
        <w:rPr>
          <w:color w:val="191919" w:themeColor="background1" w:themeShade="1A"/>
          <w:sz w:val="28"/>
          <w:szCs w:val="28"/>
          <w:lang w:val="en-US"/>
        </w:rPr>
        <w:t>1) a desire to be closer to the sources of supply, 2) availability of labor resources, 3) availability of raw materials, 4) availability of capital and technology, 5) low-cost labor, 6) low cost of other production costs, 7) low transport costs, 8) financial and other incentives offered by the government, 9) more favorable price levels.</w:t>
      </w:r>
    </w:p>
    <w:p>
      <w:pPr>
        <w:pStyle w:val="10"/>
        <w:shd w:val="clear" w:color="auto" w:fill="FDFDFF"/>
        <w:spacing w:before="0" w:beforeAutospacing="0" w:after="0" w:afterAutospacing="0"/>
        <w:jc w:val="both"/>
        <w:rPr>
          <w:color w:val="191919" w:themeColor="background1" w:themeShade="1A"/>
          <w:sz w:val="28"/>
          <w:szCs w:val="28"/>
          <w:lang w:val="en-US"/>
        </w:rPr>
      </w:pPr>
      <w:r>
        <w:rPr>
          <w:rStyle w:val="14"/>
          <w:b w:val="0"/>
          <w:color w:val="191919" w:themeColor="background1" w:themeShade="1A"/>
          <w:sz w:val="28"/>
          <w:szCs w:val="28"/>
          <w:lang w:val="en-US"/>
        </w:rPr>
        <w:t>Investment climate:</w:t>
      </w:r>
      <w:r>
        <w:rPr>
          <w:rStyle w:val="14"/>
          <w:color w:val="191919" w:themeColor="background1" w:themeShade="1A"/>
          <w:sz w:val="28"/>
          <w:szCs w:val="28"/>
          <w:lang w:val="en-US"/>
        </w:rPr>
        <w:t> </w:t>
      </w:r>
      <w:r>
        <w:rPr>
          <w:color w:val="191919" w:themeColor="background1" w:themeShade="1A"/>
          <w:sz w:val="28"/>
          <w:szCs w:val="28"/>
          <w:lang w:val="en-US"/>
        </w:rPr>
        <w:t>1) the overall attitude to foreign investment, 2) political stability, 3) restrictions in the ownership, 4) exchange rates adjustment, 5) stability of foreign currency, 6) the structure of taxes, 7) good knowledge of the country.</w:t>
      </w:r>
    </w:p>
    <w:p>
      <w:pPr>
        <w:pStyle w:val="10"/>
        <w:shd w:val="clear" w:color="auto" w:fill="FDFDFF"/>
        <w:spacing w:before="0" w:beforeAutospacing="0" w:after="0" w:afterAutospacing="0"/>
        <w:jc w:val="both"/>
        <w:rPr>
          <w:color w:val="191919" w:themeColor="background1" w:themeShade="1A"/>
          <w:sz w:val="28"/>
          <w:szCs w:val="28"/>
          <w:lang w:val="en-US"/>
        </w:rPr>
      </w:pPr>
      <w:r>
        <w:rPr>
          <w:rStyle w:val="14"/>
          <w:b w:val="0"/>
          <w:color w:val="191919" w:themeColor="background1" w:themeShade="1A"/>
          <w:sz w:val="28"/>
          <w:szCs w:val="28"/>
          <w:lang w:val="en-US"/>
        </w:rPr>
        <w:t>General factors:</w:t>
      </w:r>
      <w:r>
        <w:rPr>
          <w:rStyle w:val="14"/>
          <w:color w:val="191919" w:themeColor="background1" w:themeShade="1A"/>
          <w:sz w:val="28"/>
          <w:szCs w:val="28"/>
          <w:lang w:val="en-US"/>
        </w:rPr>
        <w:t> </w:t>
      </w:r>
      <w:r>
        <w:rPr>
          <w:color w:val="191919" w:themeColor="background1" w:themeShade="1A"/>
          <w:sz w:val="28"/>
          <w:szCs w:val="28"/>
          <w:lang w:val="en-US"/>
        </w:rPr>
        <w:t>1) expectation of high profits, 2) other factors.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The mentioned above factors of FDI are specified during the development of investment policy through the system of indicators, comprising about 340 indexes and more than 100 evaluations of experts in economic, legal, technical, social and other spheres. The data analysis form 10 fundamental factors to assess the potential of the country to act as host FDI or so-called competitive potential of the country. These factors include the following:</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dynamics of the economy (economic potential);</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production capacity of industry;</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dynamics of the market;</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financial support of the government;</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human capital;</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prestige of the state;</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availability of raw materials;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the orientation to external markets (export potential);</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innovation potential;</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 social stability.</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Each of these 10 factors includes a system of specific indicators. For example, for human capital's evaluation, Swiss experts suggested using 36 indicators that include: population and its dynamics; the overall unemployment rate; migration of the labor force as a whole, including highly skilled one; the level of professional training; motivation of hired workers and their mobility; management and its professional adaptation; the level of wages; public expenditures for education per capita; the level of workforce with higher education; periodicals publishing; the health care system, etc.</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In practice, most decisions concerning foreign direct investment are based on many motives and take into account many factors. Political motives for investing are rarely separated from economic ones.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On the basis of expert estimates, the most attractive conditions for FDI are possessed by the following countries: the USA, Canada, Germany, Switzerland, and Asia-Pacific newly industrialized countries (NICs).</w:t>
      </w:r>
    </w:p>
    <w:p>
      <w:pPr>
        <w:pStyle w:val="5"/>
        <w:shd w:val="clear" w:color="auto" w:fill="FDFDFF"/>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Forms of foreign direct investments</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Foreign direct investment is carried out in the form of transfer of capital from one country to another by means of crediting or buying the shares from a foreign company, which is largely owned by the investor or under his control, or by means of setting up a new business. Therefore, foreign direct investment tends to imply a high level of investor commitments to the controlled firm in relation to transferring of new technologies, managerial know-how, the provision of the skilled stuff. Immaterial, mobile assets become a rather widespread form of FDI under modern conditions. They may occur even with small initial funding or without any movement of financial capital abroad.</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The mentioned form of foreign direct investment provides the controlled branch with: the transfer of the management skills; trade secrets; technologies; the right to use the trade mark of the parent company; etc. Therefore, a particular attention should be paid to the technology transfer.</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Technology transfer does not mean only the emergence of new equipment in the market, but also mastery of technique of operations' performing on it. In the industries, where the role of intellectual property is essential, such as pharmacy, education, medicine, scientific researches, the access to the resources and developments of parent company generates benefits far beyond those that could be obtained by infusion of capital. It explains the interest of many governments to the fact that TNCs have research centers (capacities) in their countries. An integral part of the technology transfer is the management skills that are the most significant components of foreign direct investment.</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The principles of technology transfer are usually the following:</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1. The usefulness of the technology.</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2. Favorable social and economic conditions for the transfer.</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3. The willingness and ability of the host country to use and adapt the technology.</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In the industrialized countries, complex technological processes are economically justified, and specialists from these countries are able to solve the problems and develop technology. The problems occur in the less developed countries with little industrial experience. Production capacity must be adapted to the production in small series; equipment and operations should be very simplified due to the lack of qualified and trained personnel. In most cases, in these countries the quality is only reaching the world standards. To overcome these problems, for example, the electronics giant 'Philips' created a special experimental plant. The plant contributes to the fact that a lot of elements, defining the possibility of production functioning, are adapted to the local circumstances, and thus the necessary know-how and other elements are transferred to the developing countries.</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Technology transfer increases with the growth of the industrialization, which will create not only the demand for new technologies, but also complicate the processes and technology in the existing economic sectors.</w:t>
      </w:r>
    </w:p>
    <w:p>
      <w:pPr>
        <w:pStyle w:val="5"/>
        <w:shd w:val="clear" w:color="auto" w:fill="FDFDFF"/>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The consequences of foreign direct investments</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Foreign direct investment has a significant impact on the socio-economic development of investing countries (where the capital comes from) and destination countries (where the capital comes in), on different social groups in these countries, and on the state and dynamics of the world economy as a whole and of individual regions as well.</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The analysis of FDI impact on the well-being of the individual groups of population shows that foreign direct investment brings the following:</w:t>
      </w:r>
    </w:p>
    <w:p>
      <w:pPr>
        <w:pStyle w:val="10"/>
        <w:shd w:val="clear" w:color="auto" w:fill="FDFDFF"/>
        <w:spacing w:before="0" w:beforeAutospacing="0" w:after="0" w:afterAutospacing="0"/>
        <w:jc w:val="both"/>
        <w:rPr>
          <w:b/>
          <w:color w:val="191919" w:themeColor="background1" w:themeShade="1A"/>
          <w:sz w:val="28"/>
          <w:szCs w:val="28"/>
          <w:lang w:val="en-US"/>
        </w:rPr>
      </w:pPr>
      <w:r>
        <w:rPr>
          <w:rStyle w:val="14"/>
          <w:b w:val="0"/>
          <w:color w:val="191919" w:themeColor="background1" w:themeShade="1A"/>
          <w:sz w:val="28"/>
          <w:szCs w:val="28"/>
          <w:lang w:val="en-US"/>
        </w:rPr>
        <w:t>• benefits: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a) to foreign firms and investors;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b) to workers of the receiving country (workplaces);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c) to the population of the receiving country from a possible increase of social services because of taxes on incomes from FDI;</w:t>
      </w:r>
    </w:p>
    <w:p>
      <w:pPr>
        <w:pStyle w:val="10"/>
        <w:shd w:val="clear" w:color="auto" w:fill="FDFDFF"/>
        <w:spacing w:before="0" w:beforeAutospacing="0" w:after="0" w:afterAutospacing="0"/>
        <w:jc w:val="both"/>
        <w:rPr>
          <w:b/>
          <w:color w:val="191919" w:themeColor="background1" w:themeShade="1A"/>
          <w:sz w:val="28"/>
          <w:szCs w:val="28"/>
          <w:lang w:val="en-US"/>
        </w:rPr>
      </w:pPr>
      <w:r>
        <w:rPr>
          <w:rStyle w:val="14"/>
          <w:b w:val="0"/>
          <w:color w:val="191919" w:themeColor="background1" w:themeShade="1A"/>
          <w:sz w:val="28"/>
          <w:szCs w:val="28"/>
          <w:lang w:val="en-US"/>
        </w:rPr>
        <w:t>• losses: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a) to workers of an investing country, as FDI means exports of workplaces;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b) to competing firms in the receiving country;</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c) to taxpayers of an investing country, as profits of TNCs are more difficult to tax and the government either shift the shortfall in tax revenue to other payers or reduce the budget-funded social programs.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The general conclusion of economists, analyzing FDI is as follows:</w:t>
      </w:r>
    </w:p>
    <w:p>
      <w:pPr>
        <w:pStyle w:val="10"/>
        <w:shd w:val="clear" w:color="auto" w:fill="FDFDFF"/>
        <w:spacing w:before="0" w:beforeAutospacing="0" w:after="0" w:afterAutospacing="0"/>
        <w:jc w:val="both"/>
        <w:rPr>
          <w:color w:val="191919" w:themeColor="background1" w:themeShade="1A"/>
          <w:sz w:val="28"/>
          <w:szCs w:val="28"/>
          <w:lang w:val="en-US"/>
        </w:rPr>
      </w:pPr>
      <w:r>
        <w:rPr>
          <w:rStyle w:val="14"/>
          <w:b w:val="0"/>
          <w:color w:val="191919" w:themeColor="background1" w:themeShade="1A"/>
          <w:sz w:val="28"/>
          <w:szCs w:val="28"/>
          <w:lang w:val="en-US"/>
        </w:rPr>
        <w:t>1) an investing country</w:t>
      </w:r>
      <w:r>
        <w:rPr>
          <w:rStyle w:val="14"/>
          <w:color w:val="191919" w:themeColor="background1" w:themeShade="1A"/>
          <w:sz w:val="28"/>
          <w:szCs w:val="28"/>
          <w:lang w:val="en-US"/>
        </w:rPr>
        <w:t> </w:t>
      </w:r>
      <w:r>
        <w:rPr>
          <w:color w:val="191919" w:themeColor="background1" w:themeShade="1A"/>
          <w:sz w:val="28"/>
          <w:szCs w:val="28"/>
          <w:lang w:val="en-US"/>
        </w:rPr>
        <w:t>generally wins because the benefits for investors</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are more than losses of workplaces and other categories of persons in the home</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base country;</w:t>
      </w:r>
    </w:p>
    <w:p>
      <w:pPr>
        <w:pStyle w:val="10"/>
        <w:shd w:val="clear" w:color="auto" w:fill="FDFDFF"/>
        <w:spacing w:before="0" w:beforeAutospacing="0" w:after="0" w:afterAutospacing="0"/>
        <w:jc w:val="both"/>
        <w:rPr>
          <w:color w:val="191919" w:themeColor="background1" w:themeShade="1A"/>
          <w:sz w:val="28"/>
          <w:szCs w:val="28"/>
          <w:lang w:val="en-US"/>
        </w:rPr>
      </w:pPr>
      <w:r>
        <w:rPr>
          <w:rStyle w:val="14"/>
          <w:b w:val="0"/>
          <w:color w:val="191919" w:themeColor="background1" w:themeShade="1A"/>
          <w:sz w:val="28"/>
          <w:szCs w:val="28"/>
          <w:lang w:val="en-US"/>
        </w:rPr>
        <w:t>2) a receiving country</w:t>
      </w:r>
      <w:r>
        <w:rPr>
          <w:rStyle w:val="14"/>
          <w:color w:val="191919" w:themeColor="background1" w:themeShade="1A"/>
          <w:sz w:val="28"/>
          <w:szCs w:val="28"/>
          <w:lang w:val="en-US"/>
        </w:rPr>
        <w:t> </w:t>
      </w:r>
      <w:r>
        <w:rPr>
          <w:color w:val="191919" w:themeColor="background1" w:themeShade="1A"/>
          <w:sz w:val="28"/>
          <w:szCs w:val="28"/>
          <w:lang w:val="en-US"/>
        </w:rPr>
        <w:t>also generally wins, because the benefits for workers and other categories of persons are more than the losses to investors of the receiving country who are forced to compete with firms that have technological, managerial and other advantages.</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The simultaneous existence of both costs and benefits breeds differences in the business world, among politicians, scientists and economists about foreign investment. In many countries, FDI gives birth to nationalistic sentiments. In the USA, for example, according to the survey, 48% of Americans are opposed to Japanese investment and only 18% agree to take them. The position of the developing countries is ambivalent. On the one hand, they fear excessive foreign influence and exploitation and, on the other hand, the disinvestment as a means of access to the latest technology, exports expansion, etc.</w:t>
      </w:r>
    </w:p>
    <w:p>
      <w:pPr>
        <w:pStyle w:val="10"/>
        <w:shd w:val="clear" w:color="auto" w:fill="FDFDFF"/>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In many countries in the sphere of investment policy there are powerful conflicting pressure groups, seeking to limit FDI inflow or their wide attraction.</w:t>
      </w:r>
    </w:p>
    <w:p>
      <w:pPr>
        <w:pStyle w:val="10"/>
        <w:shd w:val="clear" w:color="auto" w:fill="FDFDFF"/>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In the home countries of TNCs, the lobbying influence of these corporations on foreign policies of the governments often results in international military conflicts in order to protect the interests of investing firms that do not coincide with the interests of nations as a whole.</w:t>
      </w: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center"/>
        <w:rPr>
          <w:rFonts w:ascii="Times New Roman" w:hAnsi="Times New Roman" w:cs="Times New Roman"/>
          <w:color w:val="191919" w:themeColor="background1" w:themeShade="1A"/>
          <w:sz w:val="28"/>
          <w:szCs w:val="28"/>
          <w:lang w:val="en-US"/>
        </w:rPr>
      </w:pPr>
    </w:p>
    <w:p>
      <w:pPr>
        <w:spacing w:after="0" w:line="240" w:lineRule="auto"/>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spacing w:after="0" w:line="24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Heckscher-Ohlin Factor-proportions theory. </w:t>
      </w:r>
    </w:p>
    <w:p>
      <w:pPr>
        <w:spacing w:after="0" w:line="24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 link to microeconomics: Specific Factors of production.</w:t>
      </w:r>
    </w:p>
    <w:p>
      <w:pPr>
        <w:spacing w:after="0" w:line="24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Production Factor International Movements.</w:t>
      </w:r>
    </w:p>
    <w:p>
      <w:pPr>
        <w:spacing w:after="0" w:line="24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 link to macroeconomics: Economies of scale and international location of production.</w:t>
      </w:r>
    </w:p>
    <w:p>
      <w:pPr>
        <w:spacing w:after="0" w:line="24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Limits to the International Labor Mobility.</w:t>
      </w:r>
    </w:p>
    <w:p>
      <w:pPr>
        <w:spacing w:after="0" w:line="240" w:lineRule="auto"/>
        <w:jc w:val="center"/>
        <w:rPr>
          <w:rFonts w:ascii="Times New Roman" w:hAnsi="Times New Roman" w:cs="Times New Roman"/>
          <w:color w:val="191919" w:themeColor="background1" w:themeShade="1A"/>
          <w:sz w:val="28"/>
          <w:szCs w:val="28"/>
          <w:lang w:val="en-US"/>
        </w:rPr>
      </w:pPr>
    </w:p>
    <w:p>
      <w:pPr>
        <w:spacing w:after="0" w:line="240" w:lineRule="auto"/>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References</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1. Sheffrin (2016). Economics: Principles in action. Upper Saddle River, New Jersey 07458: Pearson Prentice Hall. pp. 4. ISBN 0-13-063085-3. Sullivan, Arthur; Steven M.</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2. Parkin, Michael and Esquivel, Gerardo, Macroeconomía, Addison Wesley, (2015), p. 160.</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3.  Milton Friedman (2017), Price Theory, pp. 201-02.</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4. Classical price theory follows "costs of reproduction" and does not allow for "factor" gains", 2017.</w:t>
      </w:r>
    </w:p>
    <w:p>
      <w:pPr>
        <w:pStyle w:val="19"/>
        <w:jc w:val="both"/>
        <w:rPr>
          <w:b/>
          <w:color w:val="191919" w:themeColor="background1" w:themeShade="1A"/>
          <w:sz w:val="28"/>
          <w:szCs w:val="28"/>
          <w:lang w:val="en-US"/>
        </w:rPr>
      </w:pPr>
    </w:p>
    <w:p>
      <w:pPr>
        <w:pStyle w:val="19"/>
        <w:jc w:val="both"/>
        <w:rPr>
          <w:color w:val="191919" w:themeColor="background1" w:themeShade="1A"/>
          <w:sz w:val="28"/>
          <w:szCs w:val="28"/>
          <w:lang w:val="en-US"/>
        </w:rPr>
      </w:pPr>
      <w:r>
        <w:rPr>
          <w:b/>
          <w:color w:val="191919" w:themeColor="background1" w:themeShade="1A"/>
          <w:sz w:val="28"/>
          <w:szCs w:val="28"/>
          <w:lang w:val="en-US"/>
        </w:rPr>
        <w:t xml:space="preserve">Lecture 3. </w:t>
      </w:r>
      <w:r>
        <w:rPr>
          <w:b/>
          <w:bCs/>
          <w:color w:val="191919" w:themeColor="background1" w:themeShade="1A"/>
          <w:sz w:val="28"/>
          <w:szCs w:val="28"/>
          <w:lang w:val="en-US"/>
        </w:rPr>
        <w:t xml:space="preserve">Global economies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Major global economies by GDP. </w:t>
      </w:r>
    </w:p>
    <w:p>
      <w:pPr>
        <w:pStyle w:val="19"/>
        <w:jc w:val="both"/>
        <w:rPr>
          <w:color w:val="191919" w:themeColor="background1" w:themeShade="1A"/>
          <w:sz w:val="28"/>
          <w:szCs w:val="28"/>
          <w:lang w:val="en-US"/>
        </w:rPr>
      </w:pPr>
      <w:r>
        <w:rPr>
          <w:color w:val="191919" w:themeColor="background1" w:themeShade="1A"/>
          <w:sz w:val="28"/>
          <w:szCs w:val="28"/>
          <w:lang w:val="en-US"/>
        </w:rPr>
        <w:t>Classification and types of economies.</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National economies and global economy. </w:t>
      </w:r>
    </w:p>
    <w:p>
      <w:pPr>
        <w:spacing w:after="0" w:line="24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Competitiveness. Global value chains.</w:t>
      </w:r>
    </w:p>
    <w:p>
      <w:pPr>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 xml:space="preserve">1.Major global economies by GDP  </w:t>
      </w:r>
      <w:r>
        <w:fldChar w:fldCharType="begin"/>
      </w:r>
      <w:r>
        <w:instrText xml:space="preserve"> HYPERLINK "https://en.wikipedia.org/wiki/World_Economy_(disambiguation)" \o "World Economy (disambiguation)" </w:instrText>
      </w:r>
      <w:r>
        <w:fldChar w:fldCharType="separate"/>
      </w:r>
      <w:r>
        <w:rPr>
          <w:rStyle w:val="13"/>
          <w:rFonts w:ascii="Times New Roman" w:hAnsi="Times New Roman" w:cs="Times New Roman"/>
          <w:iCs/>
          <w:color w:val="191919" w:themeColor="background1" w:themeShade="1A"/>
          <w:sz w:val="28"/>
          <w:szCs w:val="28"/>
          <w:u w:val="none"/>
          <w:lang w:val="en-US"/>
        </w:rPr>
        <w:t xml:space="preserve">World Economy </w:t>
      </w:r>
      <w:r>
        <w:rPr>
          <w:rStyle w:val="13"/>
          <w:rFonts w:ascii="Times New Roman" w:hAnsi="Times New Roman" w:cs="Times New Roman"/>
          <w:iCs/>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(20 largest economies pie)</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w:t>
      </w:r>
      <w:r>
        <w:rPr>
          <w:bCs/>
          <w:color w:val="191919" w:themeColor="background1" w:themeShade="1A"/>
          <w:sz w:val="28"/>
          <w:szCs w:val="28"/>
          <w:lang w:val="en-US"/>
        </w:rPr>
        <w:t>world economy</w:t>
      </w:r>
      <w:r>
        <w:rPr>
          <w:color w:val="191919" w:themeColor="background1" w:themeShade="1A"/>
          <w:sz w:val="28"/>
          <w:szCs w:val="28"/>
          <w:lang w:val="en-US"/>
        </w:rPr>
        <w:t> or </w:t>
      </w:r>
      <w:r>
        <w:rPr>
          <w:bCs/>
          <w:color w:val="191919" w:themeColor="background1" w:themeShade="1A"/>
          <w:sz w:val="28"/>
          <w:szCs w:val="28"/>
          <w:lang w:val="en-US"/>
        </w:rPr>
        <w:t>global economy</w:t>
      </w:r>
      <w:r>
        <w:rPr>
          <w:color w:val="191919" w:themeColor="background1" w:themeShade="1A"/>
          <w:sz w:val="28"/>
          <w:szCs w:val="28"/>
          <w:lang w:val="en-US"/>
        </w:rPr>
        <w:t> is the </w:t>
      </w:r>
      <w:r>
        <w:fldChar w:fldCharType="begin"/>
      </w:r>
      <w:r>
        <w:instrText xml:space="preserve"> HYPERLINK "https://en.wikipedia.org/wiki/Economy" \o "Economy" </w:instrText>
      </w:r>
      <w:r>
        <w:fldChar w:fldCharType="separate"/>
      </w:r>
      <w:r>
        <w:rPr>
          <w:rStyle w:val="13"/>
          <w:color w:val="191919" w:themeColor="background1" w:themeShade="1A"/>
          <w:sz w:val="28"/>
          <w:szCs w:val="28"/>
          <w:u w:val="none"/>
          <w:lang w:val="en-US"/>
        </w:rPr>
        <w:t>economy</w:t>
      </w:r>
      <w:r>
        <w:rPr>
          <w:rStyle w:val="13"/>
          <w:color w:val="191919" w:themeColor="background1" w:themeShade="1A"/>
          <w:sz w:val="28"/>
          <w:szCs w:val="28"/>
          <w:u w:val="none"/>
          <w:lang w:val="en-US"/>
        </w:rPr>
        <w:fldChar w:fldCharType="end"/>
      </w:r>
      <w:r>
        <w:rPr>
          <w:color w:val="191919" w:themeColor="background1" w:themeShade="1A"/>
          <w:sz w:val="28"/>
          <w:szCs w:val="28"/>
          <w:lang w:val="en-US"/>
        </w:rPr>
        <w:t> of the world, considered as the international exchange of goods and services that is expressed in monetary units of account (money). In some contexts, the two terms are distinguished: the "international" or "global economy" being measured separately and distinguished from </w:t>
      </w:r>
      <w:r>
        <w:fldChar w:fldCharType="begin"/>
      </w:r>
      <w:r>
        <w:instrText xml:space="preserve"> HYPERLINK "https://en.wikipedia.org/wiki/Country" \o "Country" </w:instrText>
      </w:r>
      <w:r>
        <w:fldChar w:fldCharType="separate"/>
      </w:r>
      <w:r>
        <w:rPr>
          <w:rStyle w:val="13"/>
          <w:color w:val="191919" w:themeColor="background1" w:themeShade="1A"/>
          <w:sz w:val="28"/>
          <w:szCs w:val="28"/>
          <w:u w:val="none"/>
          <w:lang w:val="en-US"/>
        </w:rPr>
        <w:t>national</w:t>
      </w:r>
      <w:r>
        <w:rPr>
          <w:rStyle w:val="13"/>
          <w:color w:val="191919" w:themeColor="background1" w:themeShade="1A"/>
          <w:sz w:val="28"/>
          <w:szCs w:val="28"/>
          <w:u w:val="none"/>
          <w:lang w:val="en-US"/>
        </w:rPr>
        <w:fldChar w:fldCharType="end"/>
      </w:r>
      <w:r>
        <w:rPr>
          <w:color w:val="191919" w:themeColor="background1" w:themeShade="1A"/>
          <w:sz w:val="28"/>
          <w:szCs w:val="28"/>
          <w:lang w:val="en-US"/>
        </w:rPr>
        <w:t> economies while the "world economy" is simply an aggregate of the separate countries' measurements. Beyond the minimum standard concerning value in production, use and exchange the definitions, representations, models and valuations of the world economy vary widely. It is inseparable from the geography and ecology of Earth.</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It is common to limit questions of the world economy exclusively to </w:t>
      </w:r>
      <w:r>
        <w:fldChar w:fldCharType="begin"/>
      </w:r>
      <w:r>
        <w:instrText xml:space="preserve"> HYPERLINK "https://en.wikipedia.org/wiki/Economics" \o "Economics" </w:instrText>
      </w:r>
      <w:r>
        <w:fldChar w:fldCharType="separate"/>
      </w:r>
      <w:r>
        <w:rPr>
          <w:rStyle w:val="13"/>
          <w:color w:val="191919" w:themeColor="background1" w:themeShade="1A"/>
          <w:sz w:val="28"/>
          <w:szCs w:val="28"/>
          <w:u w:val="none"/>
          <w:lang w:val="en-US"/>
        </w:rPr>
        <w:t>human economic activity</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the world economy is typically judged in monetary terms, even in cases in which there is no efficient market to help valuate certain goods or services, or in cases in which a lack of independent research or government cooperation makes establishing figures difficult. Typical examples are </w:t>
      </w:r>
      <w:r>
        <w:fldChar w:fldCharType="begin"/>
      </w:r>
      <w:r>
        <w:instrText xml:space="preserve"> HYPERLINK "https://en.wikipedia.org/wiki/Illegal_drug_trade" \o "Illegal drug trade" </w:instrText>
      </w:r>
      <w:r>
        <w:fldChar w:fldCharType="separate"/>
      </w:r>
      <w:r>
        <w:rPr>
          <w:rStyle w:val="13"/>
          <w:color w:val="191919" w:themeColor="background1" w:themeShade="1A"/>
          <w:sz w:val="28"/>
          <w:szCs w:val="28"/>
          <w:u w:val="none"/>
          <w:lang w:val="en-US"/>
        </w:rPr>
        <w:t>illegal drugs</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other </w:t>
      </w:r>
      <w:r>
        <w:fldChar w:fldCharType="begin"/>
      </w:r>
      <w:r>
        <w:instrText xml:space="preserve"> HYPERLINK "https://en.wikipedia.org/wiki/Underground_economy" \o "Underground economy" </w:instrText>
      </w:r>
      <w:r>
        <w:fldChar w:fldCharType="separate"/>
      </w:r>
      <w:r>
        <w:rPr>
          <w:rStyle w:val="13"/>
          <w:color w:val="191919" w:themeColor="background1" w:themeShade="1A"/>
          <w:sz w:val="28"/>
          <w:szCs w:val="28"/>
          <w:u w:val="none"/>
          <w:lang w:val="en-US"/>
        </w:rPr>
        <w:t>black market goods</w:t>
      </w:r>
      <w:r>
        <w:rPr>
          <w:rStyle w:val="13"/>
          <w:color w:val="191919" w:themeColor="background1" w:themeShade="1A"/>
          <w:sz w:val="28"/>
          <w:szCs w:val="28"/>
          <w:u w:val="none"/>
          <w:lang w:val="en-US"/>
        </w:rPr>
        <w:fldChar w:fldCharType="end"/>
      </w:r>
      <w:r>
        <w:rPr>
          <w:color w:val="191919" w:themeColor="background1" w:themeShade="1A"/>
          <w:sz w:val="28"/>
          <w:szCs w:val="28"/>
          <w:lang w:val="en-US"/>
        </w:rPr>
        <w:t>, which by any standard are a part of the world economy, but for which there is by definition no legal market of any kind.</w:t>
      </w:r>
    </w:p>
    <w:p>
      <w:pPr>
        <w:pStyle w:val="10"/>
        <w:spacing w:before="0" w:beforeAutospacing="0" w:after="0" w:afterAutospacing="0"/>
        <w:ind w:firstLine="567"/>
        <w:jc w:val="center"/>
        <w:rPr>
          <w:color w:val="191919" w:themeColor="background1" w:themeShade="1A"/>
          <w:sz w:val="28"/>
          <w:szCs w:val="28"/>
        </w:rPr>
      </w:pPr>
      <w:r>
        <w:rPr>
          <w:color w:val="191919" w:themeColor="background1" w:themeShade="1A"/>
          <w:sz w:val="28"/>
          <w:szCs w:val="28"/>
        </w:rPr>
        <w:drawing>
          <wp:inline distT="0" distB="0" distL="0" distR="0">
            <wp:extent cx="2724150" cy="1947545"/>
            <wp:effectExtent l="19050" t="0" r="0" b="0"/>
            <wp:docPr id="1" name="Рисунок 21" descr="https://upload.wikimedia.org/wikipedia/commons/thumb/8/81/20_Largest_economies_pie_chart.pdf/page1-310px-20_Largest_economies_pie_chart.pdf.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1" descr="https://upload.wikimedia.org/wikipedia/commons/thumb/8/81/20_Largest_economies_pie_chart.pdf/page1-310px-20_Largest_economies_pie_chart.pdf.jpg"/>
                    <pic:cNvPicPr>
                      <a:picLocks noChangeAspect="1" noChangeArrowheads="1"/>
                    </pic:cNvPicPr>
                  </pic:nvPicPr>
                  <pic:blipFill>
                    <a:blip r:embed="rId6" cstate="print"/>
                    <a:srcRect/>
                    <a:stretch>
                      <a:fillRect/>
                    </a:stretch>
                  </pic:blipFill>
                  <pic:spPr>
                    <a:xfrm>
                      <a:off x="0" y="0"/>
                      <a:ext cx="2726433" cy="1949703"/>
                    </a:xfrm>
                    <a:prstGeom prst="rect">
                      <a:avLst/>
                    </a:prstGeom>
                    <a:noFill/>
                    <a:ln w="9525">
                      <a:noFill/>
                      <a:miter lim="800000"/>
                      <a:headEnd/>
                      <a:tailEnd/>
                    </a:ln>
                  </pic:spPr>
                </pic:pic>
              </a:graphicData>
            </a:graphic>
          </wp:inline>
        </w:drawing>
      </w:r>
    </w:p>
    <w:p>
      <w:pPr>
        <w:pStyle w:val="10"/>
        <w:spacing w:before="0" w:beforeAutospacing="0" w:after="0" w:afterAutospacing="0"/>
        <w:ind w:firstLine="567"/>
        <w:jc w:val="both"/>
        <w:rPr>
          <w:color w:val="191919" w:themeColor="background1" w:themeShade="1A"/>
          <w:sz w:val="28"/>
          <w:szCs w:val="28"/>
        </w:rPr>
      </w:pP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However, even in cases in which there is a clear and efficient market to establish a monetary value, economists do not typically use the current or official exchange rate to translate the monetary units of this market into a single unit for the world economy since exchange rates typically do not closely reflect </w:t>
      </w:r>
      <w:r>
        <w:fldChar w:fldCharType="begin"/>
      </w:r>
      <w:r>
        <w:instrText xml:space="preserve"> HYPERLINK "https://en.wikipedia.org/wiki/World" \o "World" </w:instrText>
      </w:r>
      <w:r>
        <w:fldChar w:fldCharType="separate"/>
      </w:r>
      <w:r>
        <w:rPr>
          <w:rStyle w:val="13"/>
          <w:color w:val="191919" w:themeColor="background1" w:themeShade="1A"/>
          <w:sz w:val="28"/>
          <w:szCs w:val="28"/>
          <w:u w:val="none"/>
          <w:lang w:val="en-US"/>
        </w:rPr>
        <w:t>worldwide</w:t>
      </w:r>
      <w:r>
        <w:rPr>
          <w:rStyle w:val="13"/>
          <w:color w:val="191919" w:themeColor="background1" w:themeShade="1A"/>
          <w:sz w:val="28"/>
          <w:szCs w:val="28"/>
          <w:u w:val="none"/>
          <w:lang w:val="en-US"/>
        </w:rPr>
        <w:fldChar w:fldCharType="end"/>
      </w:r>
      <w:r>
        <w:rPr>
          <w:color w:val="191919" w:themeColor="background1" w:themeShade="1A"/>
          <w:sz w:val="28"/>
          <w:szCs w:val="28"/>
          <w:lang w:val="en-US"/>
        </w:rPr>
        <w:t> value, for example in cases where the volume or price of transactions is closely regulated by the government.</w:t>
      </w:r>
    </w:p>
    <w:p>
      <w:pPr>
        <w:pStyle w:val="10"/>
        <w:spacing w:before="0" w:beforeAutospacing="0" w:after="0" w:afterAutospacing="0"/>
        <w:ind w:firstLine="567"/>
        <w:jc w:val="both"/>
        <w:rPr>
          <w:color w:val="191919" w:themeColor="background1" w:themeShade="1A"/>
          <w:sz w:val="28"/>
          <w:szCs w:val="28"/>
          <w:lang w:val="en-US"/>
        </w:rPr>
      </w:pPr>
    </w:p>
    <w:p>
      <w:pPr>
        <w:shd w:val="clear" w:color="auto" w:fill="F8F9FA"/>
        <w:spacing w:after="0" w:line="240" w:lineRule="auto"/>
        <w:ind w:firstLine="567"/>
        <w:jc w:val="center"/>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eastAsia="ru-RU"/>
        </w:rPr>
        <w:drawing>
          <wp:inline distT="0" distB="0" distL="0" distR="0">
            <wp:extent cx="2950210" cy="2115185"/>
            <wp:effectExtent l="19050" t="0" r="2540" b="0"/>
            <wp:docPr id="2" name="Рисунок 22" descr="https://upload.wikimedia.org/wikipedia/commons/thumb/7/7b/%C2%B4World_Bank%2C_icp_2011_gdp_ppp_world_share.png/310px-%C2%B4World_Bank%2C_icp_2011_gdp_ppp_world_share.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2" descr="https://upload.wikimedia.org/wikipedia/commons/thumb/7/7b/%C2%B4World_Bank%2C_icp_2011_gdp_ppp_world_share.png/310px-%C2%B4World_Bank%2C_icp_2011_gdp_ppp_world_share.png"/>
                    <pic:cNvPicPr>
                      <a:picLocks noChangeAspect="1" noChangeArrowheads="1"/>
                    </pic:cNvPicPr>
                  </pic:nvPicPr>
                  <pic:blipFill>
                    <a:blip r:embed="rId8" cstate="print"/>
                    <a:srcRect/>
                    <a:stretch>
                      <a:fillRect/>
                    </a:stretch>
                  </pic:blipFill>
                  <pic:spPr>
                    <a:xfrm>
                      <a:off x="0" y="0"/>
                      <a:ext cx="2950210" cy="2115185"/>
                    </a:xfrm>
                    <a:prstGeom prst="rect">
                      <a:avLst/>
                    </a:prstGeom>
                    <a:noFill/>
                    <a:ln w="9525">
                      <a:noFill/>
                      <a:miter lim="800000"/>
                      <a:headEnd/>
                      <a:tailEnd/>
                    </a:ln>
                  </pic:spPr>
                </pic:pic>
              </a:graphicData>
            </a:graphic>
          </wp:inline>
        </w:drawing>
      </w:r>
    </w:p>
    <w:p>
      <w:pPr>
        <w:shd w:val="clear" w:color="auto" w:fill="F8F9FA"/>
        <w:spacing w:after="0" w:line="240" w:lineRule="auto"/>
        <w:ind w:firstLine="567"/>
        <w:jc w:val="both"/>
        <w:rPr>
          <w:rFonts w:ascii="Times New Roman" w:hAnsi="Times New Roman" w:cs="Times New Roman"/>
          <w:color w:val="191919" w:themeColor="background1" w:themeShade="1A"/>
          <w:sz w:val="28"/>
          <w:szCs w:val="28"/>
          <w:lang w:val="en-US"/>
        </w:rPr>
      </w:pPr>
    </w:p>
    <w:p>
      <w:pPr>
        <w:shd w:val="clear" w:color="auto" w:fill="F8F9FA"/>
        <w:spacing w:after="0" w:line="240" w:lineRule="auto"/>
        <w:ind w:firstLine="567"/>
        <w:jc w:val="both"/>
        <w:rPr>
          <w:rFonts w:ascii="Times New Roman" w:hAnsi="Times New Roman" w:cs="Times New Roman"/>
          <w:color w:val="191919" w:themeColor="background1" w:themeShade="1A"/>
          <w:lang w:val="en-US"/>
        </w:rPr>
      </w:pPr>
      <w:r>
        <w:rPr>
          <w:rFonts w:ascii="Times New Roman" w:hAnsi="Times New Roman" w:cs="Times New Roman"/>
          <w:color w:val="191919" w:themeColor="background1" w:themeShade="1A"/>
          <w:lang w:val="en-US"/>
        </w:rPr>
        <w:t>World share of GDP (</w:t>
      </w:r>
      <w:r>
        <w:fldChar w:fldCharType="begin"/>
      </w:r>
      <w:r>
        <w:instrText xml:space="preserve"> HYPERLINK "https://en.wikipedia.org/wiki/Purchasing_power_parity" \o "Purchasing power parity" </w:instrText>
      </w:r>
      <w:r>
        <w:fldChar w:fldCharType="separate"/>
      </w:r>
      <w:r>
        <w:rPr>
          <w:rStyle w:val="13"/>
          <w:rFonts w:ascii="Times New Roman" w:hAnsi="Times New Roman" w:cs="Times New Roman"/>
          <w:color w:val="191919" w:themeColor="background1" w:themeShade="1A"/>
          <w:u w:val="none"/>
          <w:lang w:val="en-US"/>
        </w:rPr>
        <w:t>PPP</w:t>
      </w:r>
      <w:r>
        <w:rPr>
          <w:rStyle w:val="13"/>
          <w:rFonts w:ascii="Times New Roman" w:hAnsi="Times New Roman" w:cs="Times New Roman"/>
          <w:color w:val="191919" w:themeColor="background1" w:themeShade="1A"/>
          <w:u w:val="none"/>
          <w:lang w:val="en-US"/>
        </w:rPr>
        <w:fldChar w:fldCharType="end"/>
      </w:r>
      <w:r>
        <w:rPr>
          <w:rFonts w:ascii="Times New Roman" w:hAnsi="Times New Roman" w:cs="Times New Roman"/>
          <w:color w:val="191919" w:themeColor="background1" w:themeShade="1A"/>
          <w:lang w:val="en-US"/>
        </w:rPr>
        <w:t>) (</w:t>
      </w:r>
      <w:r>
        <w:fldChar w:fldCharType="begin"/>
      </w:r>
      <w:r>
        <w:instrText xml:space="preserve"> HYPERLINK "https://en.wikipedia.org/wiki/World_Bank" \o "World Bank" </w:instrText>
      </w:r>
      <w:r>
        <w:fldChar w:fldCharType="separate"/>
      </w:r>
      <w:r>
        <w:rPr>
          <w:rStyle w:val="13"/>
          <w:rFonts w:ascii="Times New Roman" w:hAnsi="Times New Roman" w:cs="Times New Roman"/>
          <w:color w:val="191919" w:themeColor="background1" w:themeShade="1A"/>
          <w:u w:val="none"/>
          <w:lang w:val="en-US"/>
        </w:rPr>
        <w:t>World Bank</w:t>
      </w:r>
      <w:r>
        <w:rPr>
          <w:rStyle w:val="13"/>
          <w:rFonts w:ascii="Times New Roman" w:hAnsi="Times New Roman" w:cs="Times New Roman"/>
          <w:color w:val="191919" w:themeColor="background1" w:themeShade="1A"/>
          <w:u w:val="none"/>
          <w:lang w:val="en-US"/>
        </w:rPr>
        <w:fldChar w:fldCharType="end"/>
      </w:r>
      <w:r>
        <w:rPr>
          <w:rFonts w:ascii="Times New Roman" w:hAnsi="Times New Roman" w:cs="Times New Roman"/>
          <w:color w:val="191919" w:themeColor="background1" w:themeShade="1A"/>
          <w:lang w:val="en-US"/>
        </w:rPr>
        <w:t xml:space="preserve">, 2017) </w:t>
      </w:r>
    </w:p>
    <w:p>
      <w:pPr>
        <w:pStyle w:val="10"/>
        <w:spacing w:before="0" w:beforeAutospacing="0" w:after="0" w:afterAutospacing="0"/>
        <w:ind w:firstLine="567"/>
        <w:jc w:val="both"/>
        <w:rPr>
          <w:color w:val="191919" w:themeColor="background1" w:themeShade="1A"/>
          <w:sz w:val="28"/>
          <w:szCs w:val="28"/>
          <w:lang w:val="en-US"/>
        </w:rPr>
      </w:pP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Rather, market valuations in a local currency are typically translated to a single monetary unit using the idea of </w:t>
      </w:r>
      <w:r>
        <w:fldChar w:fldCharType="begin"/>
      </w:r>
      <w:r>
        <w:instrText xml:space="preserve"> HYPERLINK "https://en.wikipedia.org/wiki/Purchasing_power_parity" \o "Purchasing power parity" </w:instrText>
      </w:r>
      <w:r>
        <w:fldChar w:fldCharType="separate"/>
      </w:r>
      <w:r>
        <w:rPr>
          <w:rStyle w:val="13"/>
          <w:color w:val="191919" w:themeColor="background1" w:themeShade="1A"/>
          <w:sz w:val="28"/>
          <w:szCs w:val="28"/>
          <w:u w:val="none"/>
          <w:lang w:val="en-US"/>
        </w:rPr>
        <w:t>purchasing power</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This is the method used below, which is used for estimating worldwide economic activity in terms of </w:t>
      </w:r>
      <w:r>
        <w:fldChar w:fldCharType="begin"/>
      </w:r>
      <w:r>
        <w:instrText xml:space="preserve"> HYPERLINK "https://en.wikipedia.org/wiki/Purchasing_power_parity" \o "Purchasing power parity" </w:instrText>
      </w:r>
      <w:r>
        <w:fldChar w:fldCharType="separate"/>
      </w:r>
      <w:r>
        <w:rPr>
          <w:rStyle w:val="13"/>
          <w:color w:val="191919" w:themeColor="background1" w:themeShade="1A"/>
          <w:sz w:val="28"/>
          <w:szCs w:val="28"/>
          <w:u w:val="none"/>
          <w:lang w:val="en-US"/>
        </w:rPr>
        <w:t>real</w:t>
      </w:r>
      <w:r>
        <w:rPr>
          <w:rStyle w:val="13"/>
          <w:color w:val="191919" w:themeColor="background1" w:themeShade="1A"/>
          <w:sz w:val="28"/>
          <w:szCs w:val="28"/>
          <w:u w:val="none"/>
          <w:lang w:val="en-US"/>
        </w:rPr>
        <w:fldChar w:fldCharType="end"/>
      </w:r>
      <w:r>
        <w:rPr>
          <w:color w:val="191919" w:themeColor="background1" w:themeShade="1A"/>
          <w:sz w:val="28"/>
          <w:szCs w:val="28"/>
          <w:lang w:val="en-US"/>
        </w:rPr>
        <w:t> </w:t>
      </w:r>
      <w:r>
        <w:fldChar w:fldCharType="begin"/>
      </w:r>
      <w:r>
        <w:instrText xml:space="preserve"> HYPERLINK "https://en.wikipedia.org/wiki/United_States_dollar" \o "United States dollar" </w:instrText>
      </w:r>
      <w:r>
        <w:fldChar w:fldCharType="separate"/>
      </w:r>
      <w:r>
        <w:rPr>
          <w:rStyle w:val="13"/>
          <w:color w:val="191919" w:themeColor="background1" w:themeShade="1A"/>
          <w:sz w:val="28"/>
          <w:szCs w:val="28"/>
          <w:u w:val="none"/>
          <w:lang w:val="en-US"/>
        </w:rPr>
        <w:t>United States dollars</w:t>
      </w:r>
      <w:r>
        <w:rPr>
          <w:rStyle w:val="13"/>
          <w:color w:val="191919" w:themeColor="background1" w:themeShade="1A"/>
          <w:sz w:val="28"/>
          <w:szCs w:val="28"/>
          <w:u w:val="none"/>
          <w:lang w:val="en-US"/>
        </w:rPr>
        <w:fldChar w:fldCharType="end"/>
      </w:r>
      <w:r>
        <w:rPr>
          <w:color w:val="191919" w:themeColor="background1" w:themeShade="1A"/>
          <w:sz w:val="28"/>
          <w:szCs w:val="28"/>
          <w:lang w:val="en-US"/>
        </w:rPr>
        <w:t> or </w:t>
      </w:r>
      <w:r>
        <w:fldChar w:fldCharType="begin"/>
      </w:r>
      <w:r>
        <w:rPr>
          <w:lang w:val="en-US"/>
        </w:rPr>
        <w:instrText xml:space="preserve"> HYPERLINK "https://en.wikipedia.org/wiki/Euro" \o "Euro" </w:instrText>
      </w:r>
      <w:r>
        <w:fldChar w:fldCharType="separate"/>
      </w:r>
      <w:r>
        <w:rPr>
          <w:rStyle w:val="13"/>
          <w:color w:val="191919" w:themeColor="background1" w:themeShade="1A"/>
          <w:sz w:val="28"/>
          <w:szCs w:val="28"/>
          <w:u w:val="none"/>
          <w:lang w:val="en-US"/>
        </w:rPr>
        <w:t>euros</w:t>
      </w:r>
      <w:r>
        <w:rPr>
          <w:rStyle w:val="13"/>
          <w:color w:val="191919" w:themeColor="background1" w:themeShade="1A"/>
          <w:sz w:val="28"/>
          <w:szCs w:val="28"/>
          <w:u w:val="none"/>
          <w:lang w:val="en-US"/>
        </w:rPr>
        <w:fldChar w:fldCharType="end"/>
      </w:r>
      <w:r>
        <w:rPr>
          <w:color w:val="191919" w:themeColor="background1" w:themeShade="1A"/>
          <w:sz w:val="28"/>
          <w:szCs w:val="28"/>
          <w:lang w:val="en-US"/>
        </w:rPr>
        <w:t>. However, the world economy can be evaluated and expressed in many more ways. It is unclear, for example, how many of the world's </w:t>
      </w:r>
      <w:r>
        <w:fldChar w:fldCharType="begin"/>
      </w:r>
      <w:r>
        <w:instrText xml:space="preserve"> HYPERLINK "https://en.wikipedia.org/wiki/World_population" \o "World population" </w:instrText>
      </w:r>
      <w:r>
        <w:fldChar w:fldCharType="separate"/>
      </w:r>
      <w:r>
        <w:rPr>
          <w:rStyle w:val="13"/>
          <w:color w:val="191919" w:themeColor="background1" w:themeShade="1A"/>
          <w:sz w:val="28"/>
          <w:szCs w:val="28"/>
          <w:u w:val="none"/>
          <w:lang w:val="en-US"/>
        </w:rPr>
        <w:t>7.62 billion people</w:t>
      </w:r>
      <w:r>
        <w:rPr>
          <w:rStyle w:val="13"/>
          <w:color w:val="191919" w:themeColor="background1" w:themeShade="1A"/>
          <w:sz w:val="28"/>
          <w:szCs w:val="28"/>
          <w:u w:val="none"/>
          <w:lang w:val="en-US"/>
        </w:rPr>
        <w:fldChar w:fldCharType="end"/>
      </w:r>
      <w:r>
        <w:rPr>
          <w:color w:val="191919" w:themeColor="background1" w:themeShade="1A"/>
          <w:sz w:val="28"/>
          <w:szCs w:val="28"/>
          <w:lang w:val="en-US"/>
        </w:rPr>
        <w:t> have most of their economic activity reflected in these valuations.</w:t>
      </w:r>
    </w:p>
    <w:p>
      <w:pPr>
        <w:pStyle w:val="3"/>
        <w:shd w:val="clear" w:color="auto" w:fill="FFFFFF"/>
        <w:spacing w:before="0" w:line="240" w:lineRule="auto"/>
        <w:jc w:val="both"/>
        <w:rPr>
          <w:rFonts w:ascii="Times New Roman" w:hAnsi="Times New Roman" w:cs="Times New Roman"/>
          <w:color w:val="191919" w:themeColor="background1" w:themeShade="1A"/>
          <w:sz w:val="28"/>
          <w:szCs w:val="28"/>
          <w:lang w:val="en-US"/>
        </w:rPr>
      </w:pPr>
    </w:p>
    <w:p>
      <w:pPr>
        <w:pStyle w:val="3"/>
        <w:shd w:val="clear" w:color="auto" w:fill="FFFFFF"/>
        <w:spacing w:before="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2.Classification and types of economies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way scarce resources get distributed within an economy determines the type of economic system. There are four different types of economies; </w:t>
      </w:r>
      <w:r>
        <w:rPr>
          <w:rStyle w:val="14"/>
          <w:iCs/>
          <w:color w:val="191919" w:themeColor="background1" w:themeShade="1A"/>
          <w:sz w:val="28"/>
          <w:szCs w:val="28"/>
          <w:lang w:val="en-US"/>
        </w:rPr>
        <w:t>traditional economy</w:t>
      </w:r>
      <w:r>
        <w:rPr>
          <w:color w:val="191919" w:themeColor="background1" w:themeShade="1A"/>
          <w:sz w:val="28"/>
          <w:szCs w:val="28"/>
          <w:lang w:val="en-US"/>
        </w:rPr>
        <w:t>, </w:t>
      </w:r>
      <w:r>
        <w:rPr>
          <w:rStyle w:val="14"/>
          <w:iCs/>
          <w:color w:val="191919" w:themeColor="background1" w:themeShade="1A"/>
          <w:sz w:val="28"/>
          <w:szCs w:val="28"/>
          <w:lang w:val="en-US"/>
        </w:rPr>
        <w:t>market economy</w:t>
      </w:r>
      <w:r>
        <w:rPr>
          <w:color w:val="191919" w:themeColor="background1" w:themeShade="1A"/>
          <w:sz w:val="28"/>
          <w:szCs w:val="28"/>
          <w:lang w:val="en-US"/>
        </w:rPr>
        <w:t>, </w:t>
      </w:r>
      <w:r>
        <w:rPr>
          <w:rStyle w:val="12"/>
          <w:bCs/>
          <w:color w:val="191919" w:themeColor="background1" w:themeShade="1A"/>
          <w:sz w:val="28"/>
          <w:szCs w:val="28"/>
          <w:lang w:val="en-US"/>
        </w:rPr>
        <w:t>command economy </w:t>
      </w:r>
      <w:r>
        <w:rPr>
          <w:color w:val="191919" w:themeColor="background1" w:themeShade="1A"/>
          <w:sz w:val="28"/>
          <w:szCs w:val="28"/>
          <w:lang w:val="en-US"/>
        </w:rPr>
        <w:t>and </w:t>
      </w:r>
      <w:r>
        <w:rPr>
          <w:rStyle w:val="12"/>
          <w:bCs/>
          <w:color w:val="191919" w:themeColor="background1" w:themeShade="1A"/>
          <w:sz w:val="28"/>
          <w:szCs w:val="28"/>
          <w:lang w:val="en-US"/>
        </w:rPr>
        <w:t>mixed economy</w:t>
      </w:r>
      <w:r>
        <w:rPr>
          <w:color w:val="191919" w:themeColor="background1" w:themeShade="1A"/>
          <w:sz w:val="28"/>
          <w:szCs w:val="28"/>
          <w:lang w:val="en-US"/>
        </w:rPr>
        <w:t>. Each type of economy has it’s own strengths and weaknesses.</w:t>
      </w:r>
    </w:p>
    <w:p>
      <w:pPr>
        <w:pStyle w:val="3"/>
        <w:shd w:val="clear" w:color="auto" w:fill="FFFFFF"/>
        <w:spacing w:before="0" w:line="240" w:lineRule="auto"/>
        <w:jc w:val="both"/>
        <w:rPr>
          <w:rFonts w:ascii="Times New Roman" w:hAnsi="Times New Roman" w:cs="Times New Roman"/>
          <w:b w:val="0"/>
          <w:bCs w:val="0"/>
          <w:color w:val="191919" w:themeColor="background1" w:themeShade="1A"/>
          <w:sz w:val="28"/>
          <w:szCs w:val="28"/>
          <w:lang w:val="en-US"/>
        </w:rPr>
      </w:pPr>
      <w:r>
        <w:rPr>
          <w:rFonts w:ascii="Times New Roman" w:hAnsi="Times New Roman" w:cs="Times New Roman"/>
          <w:b w:val="0"/>
          <w:bCs w:val="0"/>
          <w:color w:val="191919" w:themeColor="background1" w:themeShade="1A"/>
          <w:sz w:val="28"/>
          <w:szCs w:val="28"/>
          <w:lang w:val="en-US"/>
        </w:rPr>
        <w:t>The Four Types of Economies</w:t>
      </w:r>
    </w:p>
    <w:p>
      <w:pPr>
        <w:pStyle w:val="4"/>
        <w:shd w:val="clear" w:color="auto" w:fill="FFFFFF"/>
        <w:jc w:val="both"/>
        <w:rPr>
          <w:rFonts w:ascii="Times New Roman" w:hAnsi="Times New Roman" w:cs="Times New Roman"/>
          <w:b/>
          <w:bCs/>
          <w:color w:val="191919" w:themeColor="background1" w:themeShade="1A"/>
          <w:sz w:val="28"/>
          <w:szCs w:val="28"/>
          <w:lang w:val="en-US"/>
        </w:rPr>
      </w:pPr>
      <w:r>
        <w:rPr>
          <w:rFonts w:ascii="Times New Roman" w:hAnsi="Times New Roman" w:cs="Times New Roman"/>
          <w:b/>
          <w:bCs/>
          <w:color w:val="191919" w:themeColor="background1" w:themeShade="1A"/>
          <w:sz w:val="28"/>
          <w:szCs w:val="28"/>
          <w:lang w:val="en-US"/>
        </w:rPr>
        <w:t>1. Traditional Economic System</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traditional economic system is the most traditional and ancient types of economies in the world. Vast portions of the world still function under a traditional economic system. These areas tend to be rural, second- or third-world, and closely tied to the land, usually through farming. In general, in this type of economic system, a </w:t>
      </w:r>
      <w:r>
        <w:fldChar w:fldCharType="begin"/>
      </w:r>
      <w:r>
        <w:instrText xml:space="preserve"> HYPERLINK "http://www.intelligenteconomist.com/consumer-and-producer-surplus/" </w:instrText>
      </w:r>
      <w:r>
        <w:fldChar w:fldCharType="separate"/>
      </w:r>
      <w:r>
        <w:rPr>
          <w:rStyle w:val="13"/>
          <w:color w:val="191919" w:themeColor="background1" w:themeShade="1A"/>
          <w:sz w:val="28"/>
          <w:szCs w:val="28"/>
          <w:u w:val="none"/>
          <w:lang w:val="en-US"/>
        </w:rPr>
        <w:t>surplus</w:t>
      </w:r>
      <w:r>
        <w:rPr>
          <w:rStyle w:val="13"/>
          <w:color w:val="191919" w:themeColor="background1" w:themeShade="1A"/>
          <w:sz w:val="28"/>
          <w:szCs w:val="28"/>
          <w:u w:val="none"/>
          <w:lang w:val="en-US"/>
        </w:rPr>
        <w:fldChar w:fldCharType="end"/>
      </w:r>
      <w:r>
        <w:rPr>
          <w:color w:val="191919" w:themeColor="background1" w:themeShade="1A"/>
          <w:sz w:val="28"/>
          <w:szCs w:val="28"/>
          <w:lang w:val="en-US"/>
        </w:rPr>
        <w:t> would be rare. Each member of a traditional economy has a more specific and pronounced role, and these societies tend to be very close-knit and socially satisfied. However, they do lack access to technology and advanced medicine.</w:t>
      </w:r>
    </w:p>
    <w:p>
      <w:pPr>
        <w:pStyle w:val="4"/>
        <w:shd w:val="clear" w:color="auto" w:fill="FFFFFF"/>
        <w:jc w:val="both"/>
        <w:rPr>
          <w:rFonts w:ascii="Times New Roman" w:hAnsi="Times New Roman" w:cs="Times New Roman"/>
          <w:b/>
          <w:bCs/>
          <w:color w:val="191919" w:themeColor="background1" w:themeShade="1A"/>
          <w:sz w:val="28"/>
          <w:szCs w:val="28"/>
          <w:lang w:val="en-US"/>
        </w:rPr>
      </w:pPr>
      <w:r>
        <w:rPr>
          <w:rFonts w:ascii="Times New Roman" w:hAnsi="Times New Roman" w:cs="Times New Roman"/>
          <w:b/>
          <w:bCs/>
          <w:color w:val="191919" w:themeColor="background1" w:themeShade="1A"/>
          <w:sz w:val="28"/>
          <w:szCs w:val="28"/>
          <w:lang w:val="en-US"/>
        </w:rPr>
        <w:t>2. Command Economic System</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a command economic system, a large part of the economic system is controlled by a centralized power. For example, in the USSR most decisions were made by the central government. This type of economy was the core of the communist philosophy.</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Since the government is such a central feature of the economy, it is often involved in everything from planning to redistributing resources. A command economy is capable of creating a healthy supply of its resources, and it rewards its people with affordable prices. This capability also means that the government usually owns all the significant industries like utilities, aviation, and railroad.</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a command economy, it is theoretically possible for the government to create enough jobs and provide goods and services at an affordable rate. However, in reality, most command economies tend to focus on the most valuable resources like oil.</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China or D.P.R.K. (North Korea) are examples of command economies.</w:t>
      </w:r>
    </w:p>
    <w:p>
      <w:pPr>
        <w:pStyle w:val="4"/>
        <w:shd w:val="clear" w:color="auto" w:fill="FFFFFF"/>
        <w:jc w:val="both"/>
        <w:rPr>
          <w:rFonts w:ascii="Times New Roman" w:hAnsi="Times New Roman" w:cs="Times New Roman"/>
          <w:b/>
          <w:bCs/>
          <w:color w:val="191919" w:themeColor="background1" w:themeShade="1A"/>
          <w:sz w:val="28"/>
          <w:szCs w:val="28"/>
          <w:lang w:val="en-US"/>
        </w:rPr>
      </w:pPr>
      <w:r>
        <w:rPr>
          <w:rFonts w:ascii="Times New Roman" w:hAnsi="Times New Roman" w:cs="Times New Roman"/>
          <w:b/>
          <w:bCs/>
          <w:color w:val="191919" w:themeColor="background1" w:themeShade="1A"/>
          <w:sz w:val="28"/>
          <w:szCs w:val="28"/>
          <w:lang w:val="en-US"/>
        </w:rPr>
        <w:t>Advantages of Command Economic Systems</w:t>
      </w:r>
    </w:p>
    <w:p>
      <w:pPr>
        <w:numPr>
          <w:ilvl w:val="0"/>
          <w:numId w:val="5"/>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If executed correctly, the government can mobilize resources on a massive scale. This mobility can provide jobs for almost all of the citizens.</w:t>
      </w:r>
    </w:p>
    <w:p>
      <w:pPr>
        <w:numPr>
          <w:ilvl w:val="0"/>
          <w:numId w:val="5"/>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government can focus on the good of the society rather an individual. This focus could lead to a more efficient use of resources.</w:t>
      </w:r>
    </w:p>
    <w:p>
      <w:pPr>
        <w:pStyle w:val="4"/>
        <w:shd w:val="clear" w:color="auto" w:fill="FFFFFF"/>
        <w:jc w:val="both"/>
        <w:rPr>
          <w:rFonts w:ascii="Times New Roman" w:hAnsi="Times New Roman" w:cs="Times New Roman"/>
          <w:b/>
          <w:bCs/>
          <w:color w:val="191919" w:themeColor="background1" w:themeShade="1A"/>
          <w:sz w:val="28"/>
          <w:szCs w:val="28"/>
          <w:lang w:val="en-US"/>
        </w:rPr>
      </w:pPr>
      <w:r>
        <w:rPr>
          <w:rFonts w:ascii="Times New Roman" w:hAnsi="Times New Roman" w:cs="Times New Roman"/>
          <w:b/>
          <w:bCs/>
          <w:color w:val="191919" w:themeColor="background1" w:themeShade="1A"/>
          <w:sz w:val="28"/>
          <w:szCs w:val="28"/>
          <w:lang w:val="en-US"/>
        </w:rPr>
        <w:t>Disadvantages of Command Economic Systems</w:t>
      </w:r>
    </w:p>
    <w:p>
      <w:pPr>
        <w:numPr>
          <w:ilvl w:val="0"/>
          <w:numId w:val="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It is hard for the central planners to provide for everyone’s needs. This forces the government to ration because it cannot calculate demand since it sets prices.</w:t>
      </w:r>
    </w:p>
    <w:p>
      <w:pPr>
        <w:numPr>
          <w:ilvl w:val="0"/>
          <w:numId w:val="6"/>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There is a lack of innovation since there is no need to take any risk. Workers are also forced to pursue jobs the government deems fit.</w:t>
      </w:r>
    </w:p>
    <w:p>
      <w:pPr>
        <w:pStyle w:val="4"/>
        <w:shd w:val="clear" w:color="auto" w:fill="FFFFFF"/>
        <w:jc w:val="both"/>
        <w:rPr>
          <w:rFonts w:ascii="Times New Roman" w:hAnsi="Times New Roman" w:cs="Times New Roman"/>
          <w:b/>
          <w:bCs/>
          <w:color w:val="191919" w:themeColor="background1" w:themeShade="1A"/>
          <w:sz w:val="28"/>
          <w:szCs w:val="28"/>
          <w:lang w:val="en-US"/>
        </w:rPr>
      </w:pPr>
      <w:r>
        <w:rPr>
          <w:rFonts w:ascii="Times New Roman" w:hAnsi="Times New Roman" w:cs="Times New Roman"/>
          <w:b/>
          <w:bCs/>
          <w:color w:val="191919" w:themeColor="background1" w:themeShade="1A"/>
          <w:sz w:val="28"/>
          <w:szCs w:val="28"/>
          <w:lang w:val="en-US"/>
        </w:rPr>
        <w:t>3. Market Economic System</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a </w:t>
      </w:r>
      <w:r>
        <w:fldChar w:fldCharType="begin"/>
      </w:r>
      <w:r>
        <w:instrText xml:space="preserve"> HYPERLINK "https://www.intelligenteconomist.com/free-market/" </w:instrText>
      </w:r>
      <w:r>
        <w:fldChar w:fldCharType="separate"/>
      </w:r>
      <w:r>
        <w:rPr>
          <w:rStyle w:val="13"/>
          <w:color w:val="191919" w:themeColor="background1" w:themeShade="1A"/>
          <w:sz w:val="28"/>
          <w:szCs w:val="28"/>
          <w:u w:val="none"/>
          <w:lang w:val="en-US"/>
        </w:rPr>
        <w:t>free market economy</w:t>
      </w:r>
      <w:r>
        <w:rPr>
          <w:rStyle w:val="13"/>
          <w:color w:val="191919" w:themeColor="background1" w:themeShade="1A"/>
          <w:sz w:val="28"/>
          <w:szCs w:val="28"/>
          <w:u w:val="none"/>
          <w:lang w:val="en-US"/>
        </w:rPr>
        <w:fldChar w:fldCharType="end"/>
      </w:r>
      <w:r>
        <w:rPr>
          <w:color w:val="191919" w:themeColor="background1" w:themeShade="1A"/>
          <w:sz w:val="28"/>
          <w:szCs w:val="28"/>
          <w:lang w:val="en-US"/>
        </w:rPr>
        <w:t>, firms and households act in self-interest to determine how resources get allocated, what goods get produced and who buys the goods. This is opposite to how a command economy works, where the central government gets to keep the profits.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There is no government intervention in a pure market economy (“</w:t>
      </w:r>
      <w:r>
        <w:fldChar w:fldCharType="begin"/>
      </w:r>
      <w:r>
        <w:instrText xml:space="preserve"> HYPERLINK "http://www.economist.com/research/Economics/alphabetic.cfm?letter=L" \l "laissez-faire" \o "Economic Terms" </w:instrText>
      </w:r>
      <w:r>
        <w:fldChar w:fldCharType="separate"/>
      </w:r>
      <w:r>
        <w:rPr>
          <w:rStyle w:val="13"/>
          <w:i/>
          <w:iCs/>
          <w:color w:val="191919" w:themeColor="background1" w:themeShade="1A"/>
          <w:sz w:val="28"/>
          <w:szCs w:val="28"/>
          <w:u w:val="none"/>
          <w:lang w:val="en-US"/>
        </w:rPr>
        <w:t>laissez-faire</w:t>
      </w:r>
      <w:r>
        <w:rPr>
          <w:rStyle w:val="13"/>
          <w:i/>
          <w:iCs/>
          <w:color w:val="191919" w:themeColor="background1" w:themeShade="1A"/>
          <w:sz w:val="28"/>
          <w:szCs w:val="28"/>
          <w:u w:val="none"/>
          <w:lang w:val="en-US"/>
        </w:rPr>
        <w:fldChar w:fldCharType="end"/>
      </w:r>
      <w:r>
        <w:rPr>
          <w:color w:val="191919" w:themeColor="background1" w:themeShade="1A"/>
          <w:sz w:val="28"/>
          <w:szCs w:val="28"/>
          <w:lang w:val="en-US"/>
        </w:rPr>
        <w:t>“). However, no truly free market economy exists in the world. For example, while America is a capitalist nation, our government still regulates (or attempts to control) fair trade, government programs, honest business, monopolies, etc.</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this type of economy, there is a separation of the government and the market. This separation prevents the government from becoming too powerful and keeps their interests aligned with that of the markets.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Hong Kong has been seen as an example of a free market society.</w:t>
      </w:r>
    </w:p>
    <w:p>
      <w:pPr>
        <w:pStyle w:val="4"/>
        <w:shd w:val="clear" w:color="auto" w:fill="FFFFFF"/>
        <w:jc w:val="both"/>
        <w:rPr>
          <w:rFonts w:ascii="Times New Roman" w:hAnsi="Times New Roman" w:cs="Times New Roman"/>
          <w:b/>
          <w:bCs/>
          <w:color w:val="191919" w:themeColor="background1" w:themeShade="1A"/>
          <w:sz w:val="28"/>
          <w:szCs w:val="28"/>
          <w:lang w:val="en-US"/>
        </w:rPr>
      </w:pPr>
      <w:r>
        <w:rPr>
          <w:rFonts w:ascii="Times New Roman" w:hAnsi="Times New Roman" w:cs="Times New Roman"/>
          <w:b/>
          <w:bCs/>
          <w:color w:val="191919" w:themeColor="background1" w:themeShade="1A"/>
          <w:sz w:val="28"/>
          <w:szCs w:val="28"/>
          <w:lang w:val="en-US"/>
        </w:rPr>
        <w:t>Advantages of a Free Market Economy</w:t>
      </w:r>
    </w:p>
    <w:p>
      <w:pPr>
        <w:numPr>
          <w:ilvl w:val="0"/>
          <w:numId w:val="7"/>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Consumers pay the highest price they want to, and businesses only produce profitable goods and services. </w:t>
      </w:r>
      <w:r>
        <w:rPr>
          <w:rFonts w:ascii="Times New Roman" w:hAnsi="Times New Roman" w:cs="Times New Roman"/>
          <w:color w:val="191919" w:themeColor="background1" w:themeShade="1A"/>
          <w:sz w:val="28"/>
          <w:szCs w:val="28"/>
        </w:rPr>
        <w:t>There is a lot of incentive for entrepreneurship.</w:t>
      </w:r>
    </w:p>
    <w:p>
      <w:pPr>
        <w:numPr>
          <w:ilvl w:val="0"/>
          <w:numId w:val="7"/>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This leads to the most efficient use of the factors of production since businesses are very competitive.</w:t>
      </w:r>
    </w:p>
    <w:p>
      <w:pPr>
        <w:numPr>
          <w:ilvl w:val="0"/>
          <w:numId w:val="7"/>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Businesses invest heavily in research and development. There is an incentive for constant innovation as companies compete to provide better products for consumers.</w:t>
      </w:r>
    </w:p>
    <w:p>
      <w:pPr>
        <w:pStyle w:val="4"/>
        <w:shd w:val="clear" w:color="auto" w:fill="FFFFFF"/>
        <w:jc w:val="both"/>
        <w:rPr>
          <w:rFonts w:ascii="Times New Roman" w:hAnsi="Times New Roman" w:cs="Times New Roman"/>
          <w:b/>
          <w:bCs/>
          <w:color w:val="191919" w:themeColor="background1" w:themeShade="1A"/>
          <w:sz w:val="28"/>
          <w:szCs w:val="28"/>
          <w:lang w:val="en-US"/>
        </w:rPr>
      </w:pPr>
      <w:r>
        <w:rPr>
          <w:rFonts w:ascii="Times New Roman" w:hAnsi="Times New Roman" w:cs="Times New Roman"/>
          <w:b/>
          <w:bCs/>
          <w:color w:val="191919" w:themeColor="background1" w:themeShade="1A"/>
          <w:sz w:val="28"/>
          <w:szCs w:val="28"/>
          <w:lang w:val="en-US"/>
        </w:rPr>
        <w:t>Disadvantages of a Free Market Economy</w:t>
      </w:r>
    </w:p>
    <w:p>
      <w:pPr>
        <w:numPr>
          <w:ilvl w:val="0"/>
          <w:numId w:val="8"/>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Due to the fiercely competitive nature of a free market, businesses will not care for the disadvantaged like the elderly or disabled. </w:t>
      </w:r>
      <w:r>
        <w:rPr>
          <w:rFonts w:ascii="Times New Roman" w:hAnsi="Times New Roman" w:cs="Times New Roman"/>
          <w:color w:val="191919" w:themeColor="background1" w:themeShade="1A"/>
          <w:sz w:val="28"/>
          <w:szCs w:val="28"/>
        </w:rPr>
        <w:t>This leads to higher income inequality.</w:t>
      </w:r>
    </w:p>
    <w:p>
      <w:pPr>
        <w:numPr>
          <w:ilvl w:val="0"/>
          <w:numId w:val="8"/>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lang w:val="en-US"/>
        </w:rPr>
        <w:t xml:space="preserve">Since the market is driven solely by self-interest, economic needs have a priority over social and human needs like providing healthcare for the poor. </w:t>
      </w:r>
      <w:r>
        <w:rPr>
          <w:rFonts w:ascii="Times New Roman" w:hAnsi="Times New Roman" w:cs="Times New Roman"/>
          <w:color w:val="191919" w:themeColor="background1" w:themeShade="1A"/>
          <w:sz w:val="28"/>
          <w:szCs w:val="28"/>
        </w:rPr>
        <w:t>Consumers can also be exploited by monopolies.</w:t>
      </w:r>
    </w:p>
    <w:p>
      <w:pPr>
        <w:pStyle w:val="4"/>
        <w:shd w:val="clear" w:color="auto" w:fill="FFFFFF"/>
        <w:jc w:val="both"/>
        <w:rPr>
          <w:rFonts w:ascii="Times New Roman" w:hAnsi="Times New Roman" w:cs="Times New Roman"/>
          <w:b/>
          <w:bCs/>
          <w:color w:val="191919" w:themeColor="background1" w:themeShade="1A"/>
          <w:sz w:val="28"/>
          <w:szCs w:val="28"/>
        </w:rPr>
      </w:pPr>
      <w:r>
        <w:rPr>
          <w:rFonts w:ascii="Times New Roman" w:hAnsi="Times New Roman" w:cs="Times New Roman"/>
          <w:b/>
          <w:bCs/>
          <w:color w:val="191919" w:themeColor="background1" w:themeShade="1A"/>
          <w:sz w:val="28"/>
          <w:szCs w:val="28"/>
        </w:rPr>
        <w:t>4. Mixed Economic System</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mixed economy is a combination of different types of economic systems. This economic system is a cross between a market economy and command economy. In the most common types of mixed economies, the market is more or less free of government ownership except for a few key areas like transportation or sensitive industries like defense and railroad.</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However, the government is also usually involved in the regulation of private businesses. The idea behind a mixed economy was to use the best of both worlds – incorporate policies that are socialist and capitalist.</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To a certain extent, most countries are mixed economic system. For example, India and France are mixed economies.</w:t>
      </w:r>
    </w:p>
    <w:p>
      <w:pPr>
        <w:pStyle w:val="4"/>
        <w:shd w:val="clear" w:color="auto" w:fill="FFFFFF"/>
        <w:jc w:val="both"/>
        <w:rPr>
          <w:rFonts w:ascii="Times New Roman" w:hAnsi="Times New Roman" w:cs="Times New Roman"/>
          <w:b/>
          <w:bCs/>
          <w:color w:val="191919" w:themeColor="background1" w:themeShade="1A"/>
          <w:sz w:val="28"/>
          <w:szCs w:val="28"/>
        </w:rPr>
      </w:pPr>
      <w:r>
        <w:rPr>
          <w:rFonts w:ascii="Times New Roman" w:hAnsi="Times New Roman" w:cs="Times New Roman"/>
          <w:b/>
          <w:bCs/>
          <w:color w:val="191919" w:themeColor="background1" w:themeShade="1A"/>
          <w:sz w:val="28"/>
          <w:szCs w:val="28"/>
        </w:rPr>
        <w:t>Advantages of Mixed Economies</w:t>
      </w:r>
    </w:p>
    <w:p>
      <w:pPr>
        <w:numPr>
          <w:ilvl w:val="0"/>
          <w:numId w:val="9"/>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There is less government intervention than a command economy. This means that private businesses can run more efficiently and cut costs down than a government entity might.</w:t>
      </w:r>
    </w:p>
    <w:p>
      <w:pPr>
        <w:numPr>
          <w:ilvl w:val="0"/>
          <w:numId w:val="9"/>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government can intervene to correct </w:t>
      </w:r>
      <w:r>
        <w:fldChar w:fldCharType="begin"/>
      </w:r>
      <w:r>
        <w:instrText xml:space="preserve"> HYPERLINK "https://www.intelligenteconomist.com/market-failures/" </w:instrText>
      </w:r>
      <w:r>
        <w:fldChar w:fldCharType="separate"/>
      </w:r>
      <w:r>
        <w:rPr>
          <w:rStyle w:val="13"/>
          <w:rFonts w:ascii="Times New Roman" w:hAnsi="Times New Roman" w:cs="Times New Roman"/>
          <w:color w:val="191919" w:themeColor="background1" w:themeShade="1A"/>
          <w:sz w:val="28"/>
          <w:szCs w:val="28"/>
          <w:u w:val="none"/>
          <w:lang w:val="en-US"/>
        </w:rPr>
        <w:t>market failures</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For example, most governments will come in and break up large companies if they abuse monopoly power. Another example could be the taxation of harmful products like cigarettes to reduce a </w:t>
      </w:r>
      <w:r>
        <w:fldChar w:fldCharType="begin"/>
      </w:r>
      <w:r>
        <w:instrText xml:space="preserve"> HYPERLINK "https://www.intelligenteconomist.com/externalities/" </w:instrText>
      </w:r>
      <w:r>
        <w:fldChar w:fldCharType="separate"/>
      </w:r>
      <w:r>
        <w:rPr>
          <w:rStyle w:val="13"/>
          <w:rFonts w:ascii="Times New Roman" w:hAnsi="Times New Roman" w:cs="Times New Roman"/>
          <w:color w:val="191919" w:themeColor="background1" w:themeShade="1A"/>
          <w:sz w:val="28"/>
          <w:szCs w:val="28"/>
          <w:u w:val="none"/>
          <w:lang w:val="en-US"/>
        </w:rPr>
        <w:t>negative externality of consumption</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w:t>
      </w:r>
    </w:p>
    <w:p>
      <w:pPr>
        <w:numPr>
          <w:ilvl w:val="0"/>
          <w:numId w:val="9"/>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Governments can create safety net programs like healthcare or social security.</w:t>
      </w:r>
    </w:p>
    <w:p>
      <w:pPr>
        <w:numPr>
          <w:ilvl w:val="0"/>
          <w:numId w:val="9"/>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a mixed economy, governments can use taxation policies to </w:t>
      </w:r>
      <w:r>
        <w:fldChar w:fldCharType="begin"/>
      </w:r>
      <w:r>
        <w:instrText xml:space="preserve"> HYPERLINK "https://www.intelligenteconomist.com/equitable-distribution-of-income/" </w:instrText>
      </w:r>
      <w:r>
        <w:fldChar w:fldCharType="separate"/>
      </w:r>
      <w:r>
        <w:rPr>
          <w:rStyle w:val="13"/>
          <w:rFonts w:ascii="Times New Roman" w:hAnsi="Times New Roman" w:cs="Times New Roman"/>
          <w:color w:val="191919" w:themeColor="background1" w:themeShade="1A"/>
          <w:sz w:val="28"/>
          <w:szCs w:val="28"/>
          <w:u w:val="none"/>
          <w:lang w:val="en-US"/>
        </w:rPr>
        <w:t>redistribute income</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and reduce inequality.</w:t>
      </w:r>
    </w:p>
    <w:p>
      <w:pPr>
        <w:pStyle w:val="4"/>
        <w:shd w:val="clear" w:color="auto" w:fill="FFFFFF"/>
        <w:jc w:val="both"/>
        <w:rPr>
          <w:rFonts w:ascii="Times New Roman" w:hAnsi="Times New Roman" w:cs="Times New Roman"/>
          <w:b/>
          <w:bCs/>
          <w:color w:val="191919" w:themeColor="background1" w:themeShade="1A"/>
          <w:sz w:val="28"/>
          <w:szCs w:val="28"/>
        </w:rPr>
      </w:pPr>
      <w:r>
        <w:rPr>
          <w:rFonts w:ascii="Times New Roman" w:hAnsi="Times New Roman" w:cs="Times New Roman"/>
          <w:b/>
          <w:bCs/>
          <w:color w:val="191919" w:themeColor="background1" w:themeShade="1A"/>
          <w:sz w:val="28"/>
          <w:szCs w:val="28"/>
        </w:rPr>
        <w:t>Disadvantages of Mixed Economies</w:t>
      </w:r>
    </w:p>
    <w:p>
      <w:pPr>
        <w:numPr>
          <w:ilvl w:val="0"/>
          <w:numId w:val="10"/>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There are criticisms from both sides arguing that sometimes there is too much government intervention and sometimes there isn’t enough.</w:t>
      </w:r>
    </w:p>
    <w:p>
      <w:pPr>
        <w:numPr>
          <w:ilvl w:val="0"/>
          <w:numId w:val="10"/>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 common problem is that the state run industries are often subsidized by the government and run into large debts because they are uncompetitive.</w:t>
      </w:r>
    </w:p>
    <w:p>
      <w:pPr>
        <w:spacing w:after="0" w:line="240" w:lineRule="auto"/>
        <w:jc w:val="both"/>
        <w:rPr>
          <w:rFonts w:ascii="Times New Roman" w:hAnsi="Times New Roman" w:eastAsia="Times New Roman" w:cs="Times New Roman"/>
          <w:color w:val="191919" w:themeColor="background1" w:themeShade="1A"/>
          <w:kern w:val="36"/>
          <w:sz w:val="28"/>
          <w:szCs w:val="28"/>
          <w:lang w:val="en-US" w:eastAsia="ru-RU"/>
        </w:rPr>
      </w:pPr>
    </w:p>
    <w:p>
      <w:pPr>
        <w:spacing w:after="0" w:line="240" w:lineRule="auto"/>
        <w:jc w:val="both"/>
        <w:rPr>
          <w:rFonts w:ascii="Times New Roman" w:hAnsi="Times New Roman" w:cs="Times New Roman"/>
          <w:b/>
          <w:color w:val="191919" w:themeColor="background1" w:themeShade="1A"/>
          <w:sz w:val="28"/>
          <w:szCs w:val="28"/>
          <w:lang w:val="en-US"/>
        </w:rPr>
      </w:pPr>
      <w:r>
        <w:rPr>
          <w:rFonts w:ascii="Times New Roman" w:hAnsi="Times New Roman" w:eastAsia="Times New Roman" w:cs="Times New Roman"/>
          <w:b/>
          <w:color w:val="191919" w:themeColor="background1" w:themeShade="1A"/>
          <w:kern w:val="36"/>
          <w:sz w:val="28"/>
          <w:szCs w:val="28"/>
          <w:lang w:val="en-US" w:eastAsia="ru-RU"/>
        </w:rPr>
        <w:t xml:space="preserve">3. </w:t>
      </w:r>
      <w:r>
        <w:rPr>
          <w:rFonts w:ascii="Times New Roman" w:hAnsi="Times New Roman" w:cs="Times New Roman"/>
          <w:b/>
          <w:color w:val="191919" w:themeColor="background1" w:themeShade="1A"/>
          <w:sz w:val="28"/>
          <w:szCs w:val="28"/>
          <w:lang w:val="en-US"/>
        </w:rPr>
        <w:t>National economies and global economy</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In the first part of the twenty-first century a great recession struck most of the countries in the world. The next decade has been severally impacted with the consequences of this crisis. In this atmosphere, domestic investments and foreign investments shrink. The importance of the prudent macroeconomic analysis is clear.</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Identify and read at least four peer-reviewed journal articles focused on macroeconomic factors in two selected countries. Use national statistical data or data from international institutions (World Economic Forum, World Bank, International Monetary Fund). Then, respond to the following:</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Select two countries and identify major economic indicators for the last 5 years:</w:t>
      </w:r>
    </w:p>
    <w:p>
      <w:pPr>
        <w:numPr>
          <w:ilvl w:val="0"/>
          <w:numId w:val="11"/>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gross domestic product</w:t>
      </w:r>
    </w:p>
    <w:p>
      <w:pPr>
        <w:numPr>
          <w:ilvl w:val="0"/>
          <w:numId w:val="11"/>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gross national product</w:t>
      </w:r>
    </w:p>
    <w:p>
      <w:pPr>
        <w:numPr>
          <w:ilvl w:val="0"/>
          <w:numId w:val="11"/>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rate of inflation</w:t>
      </w:r>
    </w:p>
    <w:p>
      <w:pPr>
        <w:numPr>
          <w:ilvl w:val="0"/>
          <w:numId w:val="11"/>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interest rates</w:t>
      </w:r>
    </w:p>
    <w:p>
      <w:pPr>
        <w:numPr>
          <w:ilvl w:val="0"/>
          <w:numId w:val="11"/>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unemployment rate and type of unemployment</w:t>
      </w:r>
    </w:p>
    <w:p>
      <w:pPr>
        <w:numPr>
          <w:ilvl w:val="0"/>
          <w:numId w:val="11"/>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national debt</w:t>
      </w:r>
    </w:p>
    <w:p>
      <w:pPr>
        <w:numPr>
          <w:ilvl w:val="0"/>
          <w:numId w:val="11"/>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total export and import of a country</w:t>
      </w:r>
    </w:p>
    <w:p>
      <w:pPr>
        <w:numPr>
          <w:ilvl w:val="0"/>
          <w:numId w:val="11"/>
        </w:numPr>
        <w:shd w:val="clear" w:color="auto" w:fill="FFFFFF"/>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bilateral export and import between two selected countries.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Present these data in one table. Compare and contrast all factors in your essay. Write a critical analysis of macroeconomic status, reasons and consequences of selected countries.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Write a two-to-three-page paper in Word format. Utilize at least three scholarly sources in your research.</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Make sure you write in a clear, concise, and organized manner; demonstrate ethical scholarship in accurate representation and attribution of sources; and display accurate spelling, grammar, and punctuation.</w:t>
      </w:r>
    </w:p>
    <w:p>
      <w:pPr>
        <w:spacing w:after="0" w:line="240" w:lineRule="auto"/>
        <w:ind w:firstLine="567"/>
        <w:jc w:val="both"/>
        <w:rPr>
          <w:rFonts w:ascii="Times New Roman" w:hAnsi="Times New Roman" w:eastAsia="Times New Roman" w:cs="Times New Roman"/>
          <w:b/>
          <w:color w:val="191919" w:themeColor="background1" w:themeShade="1A"/>
          <w:kern w:val="36"/>
          <w:sz w:val="28"/>
          <w:szCs w:val="28"/>
          <w:lang w:val="en-US" w:eastAsia="ru-RU"/>
        </w:rPr>
      </w:pPr>
    </w:p>
    <w:p>
      <w:pPr>
        <w:spacing w:after="0" w:line="240" w:lineRule="auto"/>
        <w:jc w:val="both"/>
        <w:rPr>
          <w:rFonts w:ascii="Times New Roman" w:hAnsi="Times New Roman" w:eastAsia="Times New Roman" w:cs="Times New Roman"/>
          <w:color w:val="191919" w:themeColor="background1" w:themeShade="1A"/>
          <w:kern w:val="36"/>
          <w:sz w:val="28"/>
          <w:szCs w:val="28"/>
          <w:lang w:val="en-US" w:eastAsia="ru-RU"/>
        </w:rPr>
      </w:pPr>
      <w:r>
        <w:rPr>
          <w:rFonts w:ascii="Times New Roman" w:hAnsi="Times New Roman" w:eastAsia="Times New Roman" w:cs="Times New Roman"/>
          <w:b/>
          <w:color w:val="191919" w:themeColor="background1" w:themeShade="1A"/>
          <w:kern w:val="36"/>
          <w:sz w:val="28"/>
          <w:szCs w:val="28"/>
          <w:lang w:val="en-US" w:eastAsia="ru-RU"/>
        </w:rPr>
        <w:t>4.</w:t>
      </w:r>
      <w:r>
        <w:rPr>
          <w:rFonts w:ascii="Times New Roman" w:hAnsi="Times New Roman" w:cs="Times New Roman"/>
          <w:b/>
          <w:color w:val="191919" w:themeColor="background1" w:themeShade="1A"/>
          <w:sz w:val="28"/>
          <w:szCs w:val="28"/>
          <w:lang w:val="en-US"/>
        </w:rPr>
        <w:t xml:space="preserve"> Competitiveness. Global value chains  </w:t>
      </w:r>
    </w:p>
    <w:p>
      <w:pPr>
        <w:pStyle w:val="10"/>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international competitiveness of industries has long been one of the central issues in the literature on business (e.g. Porter 1990) and economics (e.g. Fagerberg 1988). Traditionally, shares in the world export markets are used to measure the competitiveness of industries. However, as a result of increases in the intermediate inputs trade, "the conventional indicators of competitiveness based on gross exports become less informative" (Timmer et al. 2013: 613). This is because a large export share does not necessarily mean that an industry has a large value added if its main production process consists of simple assembly activities, based on imported intermediate inputs.</w:t>
      </w:r>
    </w:p>
    <w:p>
      <w:pPr>
        <w:pStyle w:val="3"/>
        <w:spacing w:before="0" w:line="240" w:lineRule="auto"/>
        <w:jc w:val="both"/>
        <w:textAlignment w:val="baseline"/>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case of the iPod</w:t>
      </w:r>
    </w:p>
    <w:p>
      <w:pPr>
        <w:pStyle w:val="10"/>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A typical example to illustrate this is Chinese exports of the iPod. Dedrick et al. (2009) focused on the production process of the iPod and examined the distribution of profits across firms that supplied intermediate inputs and other related services. They found that, although the iPod was designed by Apple Inc. in the US and assembled by Inventec Appliances in China, its intermediate goods came from various firms in various countries. As a result, the value added (measured by the operating margin) was distributed across these firms in different countries. Lead firm Apple in the US earned 11.8% of the operating margin. The remaining margins were shared by such firms as Samsung Corporation in South Korea, which provided primary memory (9.4% of the operating margin), TDK Corporation in Japan, which provided the battery (7.6%), Japan Display Inc. in Japan, which provided the display (3.9%) and Toshiba Corporation in Japan, which provided the hard drive (3.8%). In China, in contrast, the value added was very low even though the iPod was assembled there.</w:t>
      </w:r>
      <w:r>
        <w:rPr>
          <w:color w:val="191919" w:themeColor="background1" w:themeShade="1A"/>
          <w:sz w:val="28"/>
          <w:szCs w:val="28"/>
          <w:vertAlign w:val="superscript"/>
          <w:lang w:val="en-US"/>
        </w:rPr>
        <w:t>1</w:t>
      </w:r>
      <w:r>
        <w:rPr>
          <w:color w:val="191919" w:themeColor="background1" w:themeShade="1A"/>
          <w:sz w:val="28"/>
          <w:szCs w:val="28"/>
          <w:lang w:val="en-US"/>
        </w:rPr>
        <w:t> This clearly indicates that the iPod being exported from China does not necessarily mean that all of the value added of the iPod is distributed to Chinese factory owners.</w:t>
      </w:r>
    </w:p>
    <w:p>
      <w:pPr>
        <w:pStyle w:val="3"/>
        <w:spacing w:before="0" w:line="240" w:lineRule="auto"/>
        <w:jc w:val="both"/>
        <w:textAlignment w:val="baseline"/>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Prior studies</w:t>
      </w:r>
    </w:p>
    <w:p>
      <w:pPr>
        <w:pStyle w:val="10"/>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In light of the increasing importance of the intermediate inputs trade, Timmer et al. (2013) examined the competitiveness of industries, measured by global value chain (GVC) income, in the EU27 countries. GVC income is defined as the value added that industries contribute to the production of final manufacturing goods. Unlike value added exports, GVC income takes into account the value added that is generated from domestic final demand as well as foreign final demand. Note that developed countries are facing declining domestic demand, whereas emerging countries are facing increasing domestic demand. If such differences are not taken into account, one could overestimate the competitiveness of industries in developed countries and/or underestimate the competitiveness of industries in emerging countries. Timmer et al. (2013) also examined the employment involved in the production of final manufacturing goods, referred to as GVC workers, to examine the changes in demand for skills in the European countries.</w:t>
      </w:r>
    </w:p>
    <w:p>
      <w:pPr>
        <w:pStyle w:val="10"/>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Using the World Input–Output Database (WIOD) from 1995 to 2009, Timmer et al. (2013) presented two important findings. First, gross exports overestimated competitiveness when industries depend heavily on the imports of intermediate inputs. Second, only a few European countries have been able to combine increasing GVC job opportunities with a substantial rise in real wages.</w:t>
      </w:r>
    </w:p>
    <w:p>
      <w:pPr>
        <w:pStyle w:val="10"/>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Their study has made significant contributions to the economics and business literature. However, they focus only on European countries. Note that Asian countries may present a different picture to the European countries. For example, Kimura (2006) argued that the development of cross-border production sharing is more advanced in East Asia than in North America and Europe. Similarly, Baldwin and Lopez-Gonzalez (2015) pointed out that ‘Factory Asia’ is more like a network and much less like the hub-and-spoke pattern that is observed in ‘Factory North America’ and ‘Factory Europe.’ This is because the processing of manufacturing products often involves stops in multiple nations. Therefore, it is interesting to ask whether there are similar patterns in GVC income and GVC workers in Asia to those found in Europe. A detailed analysis of the competitiveness of industries in Asian countries is needed to better inform the policy debates on globalisation.</w:t>
      </w:r>
    </w:p>
    <w:p>
      <w:pPr>
        <w:pStyle w:val="10"/>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Given this background, we examined the competitiveness of industries in six Asian countries: China, India, Indonesia, Japan, South Korea, and Taiwan (Kiyota et al. 2016). Following the methodology developed by Timmer et al. (2013), we measure the competitiveness of industries using GVC income. To compute GVC income, we utilise the latest version of the WIOD, which covers the period 1995-2011. This framework enables us to trace the source of the value added for the six Asian countries. Moreover, it allows us to examine the effects of changes in the production of final manufacturing goods on skill demand. Thus, our study contributes to the literature, adding another regional perspective to the available evidence.</w:t>
      </w:r>
    </w:p>
    <w:p>
      <w:pPr>
        <w:pStyle w:val="3"/>
        <w:spacing w:before="0" w:line="240" w:lineRule="auto"/>
        <w:jc w:val="both"/>
        <w:textAlignment w:val="baseline"/>
        <w:rPr>
          <w:rFonts w:ascii="Times New Roman" w:hAnsi="Times New Roman" w:cs="Times New Roman"/>
          <w:color w:val="191919" w:themeColor="background1" w:themeShade="1A"/>
          <w:sz w:val="28"/>
          <w:szCs w:val="28"/>
          <w:lang w:val="en-US"/>
        </w:rPr>
      </w:pPr>
    </w:p>
    <w:p>
      <w:pPr>
        <w:pStyle w:val="3"/>
        <w:spacing w:before="0" w:line="240" w:lineRule="auto"/>
        <w:jc w:val="both"/>
        <w:textAlignment w:val="baseline"/>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Findings</w:t>
      </w:r>
    </w:p>
    <w:p>
      <w:pPr>
        <w:pStyle w:val="10"/>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The major findings of our study are twofold. First, the competitiveness of manufacturing is increasing in China, India, and Indonesia, whereas it is decreasing in Japan, South Korea, and Taiwan. Table 1 shows GVC income for the six Asian countries. The GVC incomes of Germany and the US are also reported for reference. The share of Japan, South Korea, Taiwan, Germany, and the US in the world manufacturing GVC income declined rapidly between 1995 and 2011. In contrast to the developed countries, the share of China, India, and Indonesia expanded rapidly. Even though we focus on the GVC income rather than gross exports, the increasing competitiveness of Chinese, Indian, and Indonesian manufacturing is remarkable.</w:t>
      </w:r>
    </w:p>
    <w:p>
      <w:pPr>
        <w:pStyle w:val="10"/>
        <w:spacing w:before="0" w:beforeAutospacing="0" w:after="0" w:afterAutospacing="0"/>
        <w:ind w:firstLine="567"/>
        <w:jc w:val="both"/>
        <w:textAlignment w:val="baseline"/>
        <w:rPr>
          <w:color w:val="191919" w:themeColor="background1" w:themeShade="1A"/>
          <w:sz w:val="28"/>
          <w:szCs w:val="28"/>
          <w:vertAlign w:val="superscript"/>
          <w:lang w:val="en-US"/>
        </w:rPr>
      </w:pPr>
      <w:r>
        <w:rPr>
          <w:color w:val="191919" w:themeColor="background1" w:themeShade="1A"/>
          <w:sz w:val="28"/>
          <w:szCs w:val="28"/>
          <w:lang w:val="en-US"/>
        </w:rPr>
        <w:t>Second, unlike the EU countries, Asian countries have generally been able to combine an increase in GVC job opportunities with a rise in real income. Figure 1 presents the change in real income per worker and the change in the number of workers between 1995 and 2009 for countries in the WIOD for which we have CPI data (33 countries). The real income per worker is defined as the average labour income per worker in manufacturing GVC, deflated by the national CPI. Figure 1 seems to indicate that there is no correlation between the change in real income per worker and the change in the number of workers. Indeed, the correlation between them is 0.06, implying that there is no systematic relationship. However, if we focus on the six Asian countries (i.e., China, India, Indonesia, Japan, South Korea, and Taiwan), we can confirm a strong positive relationship. The correlation between the change in real income per worker and the change in the number of workers becomes 0.55 for the six Asian countries, whereas it is -0.26 for the EU27 countries.</w:t>
      </w:r>
    </w:p>
    <w:p>
      <w:pPr>
        <w:pStyle w:val="10"/>
        <w:spacing w:before="0" w:beforeAutospacing="0" w:after="0" w:afterAutospacing="0"/>
        <w:ind w:firstLine="567"/>
        <w:textAlignment w:val="baseline"/>
        <w:rPr>
          <w:color w:val="191919" w:themeColor="background1" w:themeShade="1A"/>
          <w:sz w:val="28"/>
          <w:szCs w:val="28"/>
          <w:lang w:val="en-US"/>
        </w:rPr>
      </w:pPr>
      <w:r>
        <w:rPr>
          <w:rStyle w:val="14"/>
          <w:b w:val="0"/>
          <w:color w:val="191919" w:themeColor="background1" w:themeShade="1A"/>
          <w:sz w:val="28"/>
          <w:szCs w:val="28"/>
          <w:lang w:val="en-US"/>
        </w:rPr>
        <w:t>Figure 1</w:t>
      </w:r>
      <w:r>
        <w:rPr>
          <w:b/>
          <w:color w:val="191919" w:themeColor="background1" w:themeShade="1A"/>
          <w:sz w:val="28"/>
          <w:szCs w:val="28"/>
          <w:lang w:val="en-US"/>
        </w:rPr>
        <w:t>.</w:t>
      </w:r>
      <w:r>
        <w:rPr>
          <w:color w:val="191919" w:themeColor="background1" w:themeShade="1A"/>
          <w:sz w:val="28"/>
          <w:szCs w:val="28"/>
          <w:lang w:val="en-US"/>
        </w:rPr>
        <w:t xml:space="preserve">  Change in employment versus change in real income per worker in manufacturers GVCs, </w:t>
      </w:r>
      <w:r>
        <w:rPr>
          <w:color w:val="191919" w:themeColor="background1" w:themeShade="1A"/>
          <w:sz w:val="28"/>
          <w:szCs w:val="28"/>
        </w:rPr>
        <w:drawing>
          <wp:inline distT="0" distB="0" distL="0" distR="0">
            <wp:extent cx="5355590" cy="2639695"/>
            <wp:effectExtent l="19050" t="0" r="0" b="0"/>
            <wp:docPr id="4" name="Рисунок 36" descr="https://voxeu.org/sites/default/files/image/FromMay2014/kiyota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6" descr="https://voxeu.org/sites/default/files/image/FromMay2014/kiyotafig1.png"/>
                    <pic:cNvPicPr>
                      <a:picLocks noChangeAspect="1" noChangeArrowheads="1"/>
                    </pic:cNvPicPr>
                  </pic:nvPicPr>
                  <pic:blipFill>
                    <a:blip r:embed="rId9" cstate="print"/>
                    <a:srcRect/>
                    <a:stretch>
                      <a:fillRect/>
                    </a:stretch>
                  </pic:blipFill>
                  <pic:spPr>
                    <a:xfrm>
                      <a:off x="0" y="0"/>
                      <a:ext cx="5361996" cy="2642773"/>
                    </a:xfrm>
                    <a:prstGeom prst="rect">
                      <a:avLst/>
                    </a:prstGeom>
                    <a:noFill/>
                    <a:ln w="9525">
                      <a:noFill/>
                      <a:miter lim="800000"/>
                      <a:headEnd/>
                      <a:tailEnd/>
                    </a:ln>
                  </pic:spPr>
                </pic:pic>
              </a:graphicData>
            </a:graphic>
          </wp:inline>
        </w:drawing>
      </w:r>
    </w:p>
    <w:p>
      <w:pPr>
        <w:pStyle w:val="10"/>
        <w:spacing w:before="0" w:beforeAutospacing="0" w:after="0" w:afterAutospacing="0"/>
        <w:ind w:firstLine="567"/>
        <w:jc w:val="both"/>
        <w:textAlignment w:val="baseline"/>
        <w:rPr>
          <w:color w:val="191919" w:themeColor="background1" w:themeShade="1A"/>
          <w:sz w:val="28"/>
          <w:szCs w:val="28"/>
          <w:lang w:val="en-US"/>
        </w:rPr>
      </w:pPr>
      <w:r>
        <w:rPr>
          <w:rStyle w:val="12"/>
          <w:color w:val="191919" w:themeColor="background1" w:themeShade="1A"/>
          <w:sz w:val="28"/>
          <w:szCs w:val="28"/>
          <w:lang w:val="en-US"/>
        </w:rPr>
        <w:t>Notes</w:t>
      </w:r>
      <w:r>
        <w:rPr>
          <w:color w:val="191919" w:themeColor="background1" w:themeShade="1A"/>
          <w:sz w:val="28"/>
          <w:szCs w:val="28"/>
          <w:lang w:val="en-US"/>
        </w:rPr>
        <w:t>: Change in number of workers and real income per worker between 1995 and 2009 in manufacturers GVCs. Real income is measured as GVC labor income per worker deflated by the national CPI.</w:t>
      </w:r>
    </w:p>
    <w:p>
      <w:pPr>
        <w:pStyle w:val="10"/>
        <w:spacing w:before="0" w:beforeAutospacing="0" w:after="0" w:afterAutospacing="0"/>
        <w:ind w:firstLine="567"/>
        <w:jc w:val="both"/>
        <w:textAlignment w:val="baseline"/>
        <w:rPr>
          <w:color w:val="191919" w:themeColor="background1" w:themeShade="1A"/>
          <w:sz w:val="28"/>
          <w:szCs w:val="28"/>
          <w:lang w:val="en-US"/>
        </w:rPr>
      </w:pPr>
      <w:r>
        <w:rPr>
          <w:rStyle w:val="12"/>
          <w:color w:val="191919" w:themeColor="background1" w:themeShade="1A"/>
          <w:sz w:val="28"/>
          <w:szCs w:val="28"/>
          <w:lang w:val="en-US"/>
        </w:rPr>
        <w:t>Source</w:t>
      </w:r>
      <w:r>
        <w:rPr>
          <w:color w:val="191919" w:themeColor="background1" w:themeShade="1A"/>
          <w:sz w:val="28"/>
          <w:szCs w:val="28"/>
          <w:lang w:val="en-US"/>
        </w:rPr>
        <w:t>: Author's calculations based on World Input-Output Tables, November 2013 and Socio Economic Accounts, July 2014.</w:t>
      </w:r>
    </w:p>
    <w:p>
      <w:pPr>
        <w:pStyle w:val="10"/>
        <w:spacing w:before="0" w:beforeAutospacing="0" w:after="0" w:afterAutospacing="0"/>
        <w:ind w:firstLine="567"/>
        <w:jc w:val="both"/>
        <w:textAlignment w:val="baseline"/>
        <w:rPr>
          <w:color w:val="191919" w:themeColor="background1" w:themeShade="1A"/>
          <w:sz w:val="28"/>
          <w:szCs w:val="28"/>
          <w:lang w:val="en-US"/>
        </w:rPr>
      </w:pPr>
      <w:r>
        <w:rPr>
          <w:color w:val="191919" w:themeColor="background1" w:themeShade="1A"/>
          <w:sz w:val="28"/>
          <w:szCs w:val="28"/>
          <w:lang w:val="en-US"/>
        </w:rPr>
        <w:t>Although a more detailed analysis is needed to discuss causality further, the results imply that, unlike workers in the EU countries, workers in the Asian countries benefit from the growth of the GVC income. Asian countries have generally been able to combine increasing GVC job opportunities with rises in real income. The GVC income in Asian countries thus presents a different picture to that in European countries. An important task for policymakers as well as academic researchers is to identify the sources of this positive correlation and to investigate which policies can help sustain this virtuous cycle.</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describe the Major global economies by GDP? </w:t>
      </w:r>
    </w:p>
    <w:p>
      <w:pPr>
        <w:pStyle w:val="19"/>
        <w:jc w:val="both"/>
        <w:rPr>
          <w:color w:val="191919" w:themeColor="background1" w:themeShade="1A"/>
          <w:sz w:val="28"/>
          <w:szCs w:val="28"/>
          <w:lang w:val="en-US"/>
        </w:rPr>
      </w:pPr>
      <w:r>
        <w:rPr>
          <w:color w:val="191919" w:themeColor="background1" w:themeShade="1A"/>
          <w:sz w:val="28"/>
          <w:szCs w:val="28"/>
          <w:lang w:val="en-US"/>
        </w:rPr>
        <w:t>Please, classify and the types of economies.</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describe the National economies and global economy? </w:t>
      </w:r>
    </w:p>
    <w:p>
      <w:pPr>
        <w:spacing w:after="0" w:line="24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What does mean the Competitiveness in the global economy? </w:t>
      </w:r>
    </w:p>
    <w:p>
      <w:pPr>
        <w:spacing w:after="0" w:line="24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Can you tell about the Global value chains?</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eastAsia="Times New Roman" w:cs="Times New Roman"/>
          <w:color w:val="191919" w:themeColor="background1" w:themeShade="1A"/>
          <w:sz w:val="28"/>
          <w:szCs w:val="28"/>
          <w:lang w:val="en-US" w:eastAsia="ru-RU"/>
        </w:rPr>
      </w:pP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color w:val="191919" w:themeColor="background1" w:themeShade="1A"/>
          <w:sz w:val="28"/>
          <w:szCs w:val="28"/>
          <w:lang w:eastAsia="ru-RU"/>
        </w:rPr>
        <w:t>References:</w:t>
      </w:r>
    </w:p>
    <w:p>
      <w:pPr>
        <w:numPr>
          <w:ilvl w:val="0"/>
          <w:numId w:val="12"/>
        </w:numPr>
        <w:tabs>
          <w:tab w:val="left" w:pos="426"/>
          <w:tab w:val="left" w:pos="851"/>
        </w:tabs>
        <w:spacing w:after="0" w:line="240" w:lineRule="auto"/>
        <w:ind w:left="0" w:firstLine="0"/>
        <w:jc w:val="both"/>
        <w:rPr>
          <w:rFonts w:ascii="Times New Roman" w:hAnsi="Times New Roman" w:cs="Times New Roman"/>
          <w:color w:val="191919" w:themeColor="background1" w:themeShade="1A"/>
          <w:sz w:val="28"/>
          <w:szCs w:val="28"/>
          <w:lang w:val="en-US"/>
        </w:rPr>
      </w:pPr>
      <w:r>
        <w:rPr>
          <w:rStyle w:val="25"/>
          <w:rFonts w:ascii="Times New Roman" w:hAnsi="Times New Roman" w:cs="Times New Roman"/>
          <w:color w:val="191919" w:themeColor="background1" w:themeShade="1A"/>
          <w:sz w:val="28"/>
          <w:szCs w:val="28"/>
          <w:lang w:val="en-US"/>
        </w:rPr>
        <w:t>“World Economy” – Definition. American English Definition of with Pronunciation by Macmillan Dictionary. N.p., n.d. Web. 02 Jan. 2017.</w:t>
      </w:r>
    </w:p>
    <w:p>
      <w:pPr>
        <w:pStyle w:val="10"/>
        <w:numPr>
          <w:ilvl w:val="0"/>
          <w:numId w:val="12"/>
        </w:numPr>
        <w:tabs>
          <w:tab w:val="left" w:pos="426"/>
          <w:tab w:val="left" w:pos="851"/>
        </w:tabs>
        <w:spacing w:before="0" w:beforeAutospacing="0" w:after="0" w:afterAutospacing="0"/>
        <w:ind w:left="0" w:firstLine="0"/>
        <w:jc w:val="both"/>
        <w:textAlignment w:val="baseline"/>
        <w:rPr>
          <w:color w:val="191919" w:themeColor="background1" w:themeShade="1A"/>
          <w:sz w:val="28"/>
          <w:szCs w:val="28"/>
          <w:lang w:val="en-US"/>
        </w:rPr>
      </w:pPr>
      <w:r>
        <w:rPr>
          <w:color w:val="191919" w:themeColor="background1" w:themeShade="1A"/>
          <w:sz w:val="28"/>
          <w:szCs w:val="28"/>
          <w:lang w:val="en-US"/>
        </w:rPr>
        <w:t>Baldwin, R (2017), “</w:t>
      </w:r>
      <w:r>
        <w:fldChar w:fldCharType="begin"/>
      </w:r>
      <w:r>
        <w:instrText xml:space="preserve"> HYPERLINK "http://www.cepr.org/active/publications/discussion_papers/dp.php?dpno=9103" </w:instrText>
      </w:r>
      <w:r>
        <w:fldChar w:fldCharType="separate"/>
      </w:r>
      <w:r>
        <w:rPr>
          <w:rStyle w:val="13"/>
          <w:color w:val="191919" w:themeColor="background1" w:themeShade="1A"/>
          <w:sz w:val="28"/>
          <w:szCs w:val="28"/>
          <w:u w:val="none"/>
          <w:lang w:val="en-US"/>
        </w:rPr>
        <w:t>Global Supply Chains: Why They Emerged, Why They Matter, and Where They are Going</w:t>
      </w:r>
      <w:r>
        <w:rPr>
          <w:rStyle w:val="13"/>
          <w:color w:val="191919" w:themeColor="background1" w:themeShade="1A"/>
          <w:sz w:val="28"/>
          <w:szCs w:val="28"/>
          <w:u w:val="none"/>
          <w:lang w:val="en-US"/>
        </w:rPr>
        <w:fldChar w:fldCharType="end"/>
      </w:r>
      <w:r>
        <w:rPr>
          <w:color w:val="191919" w:themeColor="background1" w:themeShade="1A"/>
          <w:sz w:val="28"/>
          <w:szCs w:val="28"/>
          <w:lang w:val="en-US"/>
        </w:rPr>
        <w:t>”, CEPR Discussion Paper 9103.</w:t>
      </w:r>
    </w:p>
    <w:p>
      <w:pPr>
        <w:pStyle w:val="10"/>
        <w:numPr>
          <w:ilvl w:val="0"/>
          <w:numId w:val="12"/>
        </w:numPr>
        <w:tabs>
          <w:tab w:val="left" w:pos="426"/>
          <w:tab w:val="left" w:pos="851"/>
        </w:tabs>
        <w:spacing w:before="0" w:beforeAutospacing="0" w:after="0" w:afterAutospacing="0"/>
        <w:ind w:left="0" w:firstLine="0"/>
        <w:jc w:val="both"/>
        <w:textAlignment w:val="baseline"/>
        <w:rPr>
          <w:color w:val="191919" w:themeColor="background1" w:themeShade="1A"/>
          <w:sz w:val="28"/>
          <w:szCs w:val="28"/>
          <w:lang w:val="en-US"/>
        </w:rPr>
      </w:pPr>
      <w:r>
        <w:rPr>
          <w:color w:val="191919" w:themeColor="background1" w:themeShade="1A"/>
          <w:sz w:val="28"/>
          <w:szCs w:val="28"/>
          <w:lang w:val="en-US"/>
        </w:rPr>
        <w:t xml:space="preserve">Kummritz, V (2016), “Global Value Chains: Benefiting the Domestic Economy?” CTEI Working Papers 2016-05, Centre for Trade and Economic Integration. </w:t>
      </w:r>
    </w:p>
    <w:p>
      <w:pPr>
        <w:pStyle w:val="10"/>
        <w:numPr>
          <w:ilvl w:val="0"/>
          <w:numId w:val="12"/>
        </w:numPr>
        <w:tabs>
          <w:tab w:val="left" w:pos="426"/>
          <w:tab w:val="left" w:pos="851"/>
        </w:tabs>
        <w:spacing w:before="0" w:beforeAutospacing="0" w:after="0" w:afterAutospacing="0"/>
        <w:ind w:left="0" w:firstLine="0"/>
        <w:jc w:val="both"/>
        <w:textAlignment w:val="baseline"/>
        <w:rPr>
          <w:color w:val="191919" w:themeColor="background1" w:themeShade="1A"/>
          <w:sz w:val="28"/>
          <w:szCs w:val="28"/>
          <w:lang w:val="en-US"/>
        </w:rPr>
      </w:pPr>
      <w:r>
        <w:rPr>
          <w:color w:val="191919" w:themeColor="background1" w:themeShade="1A"/>
          <w:sz w:val="28"/>
          <w:szCs w:val="28"/>
          <w:lang w:val="en-US"/>
        </w:rPr>
        <w:t>UNCTAD (2015), “World investment report 2015: Global value chains: Investment and trade for development”, Technical report, United Nations Publication, Geneva.</w:t>
      </w:r>
    </w:p>
    <w:p>
      <w:pPr>
        <w:numPr>
          <w:ilvl w:val="0"/>
          <w:numId w:val="12"/>
        </w:numPr>
        <w:tabs>
          <w:tab w:val="left" w:pos="426"/>
          <w:tab w:val="left" w:pos="851"/>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www.imf.org/external/pubs/ft/weo/2017/01/weodata/weorept.aspx?pr.x=48&amp;pr.y=14&amp;sy=2012&amp;ey=2020&amp;scsm=1&amp;sort=country&amp;ds=.&amp;br=1&amp;c=512%2C668%2C914%2C672%2C612%2C946%2C614%2C137%2C311%2C962%2C213%2C674%2C911%2C676%2C193%2C548%2C122%2C556%2C912%2C678%2C313%2C181%2C419%2C867%2C513%2C682%2C316%2C684%2C913%2C273%2C124%2C868%2C339%2C921%2C638%2C948%2C514%2C943%2C218%2C686%2C963%2C688%2C616%2C518%2C223%2C728%2C516%2C558%2C918%2C138%2C748%2C196%2C618%2C278%2C624%2C692%2C522%2C694%2C622%2C142%2C156%2C449%2C626%2C564%2C628%2C565%2C228%2C283%2C924%2C853%2C233%2C288%2C632%2C293%2C636%2C566%2C634%2C964%2C238%2C182%2C662%2C453%2C960%2C968%2C423%2C922%2C935%2C714%2C128%2C862%2C611%2C135%2C321%2C716%2C243%2C456%2C248%2C722%2C469%2C942%2C253%2C718%2C642%2C724%2C643%2C576%2C939%2C936%2C644%2C961%2C819%2C813%2C172%2C199%2C132%2C733%2C646%2C184%2C648%2C524%2C915%2C361%2C134%2C362%2C652%2C364%2C174%2C732%2C328%2C366%2C258%2C734%2C656%2C144%2C654%2C146%2C336%2C463%2C263%2C528%2C268%2C923%2C532%2C738%2C944%2C578%2C176%2C537%2C534%2C742%2C536%2C866%2C429%2C369%2C433%2C744%2C178%2C186%2C436%2C925%2C136%2C869%2C343%2C746%2C158%2C926%2C439%2C466%2C916%2C112%2C664%2C111%2C826%2C298%2C542%2C927%2C967%2C846%2C443%2C299%2C917%2C582%2C544%2C474%2C941%2C754%2C446%2C698%2C666&amp;s=NGDPD&amp;grp=0&amp;a=" </w:instrText>
      </w:r>
      <w:r>
        <w:fldChar w:fldCharType="separate"/>
      </w:r>
      <w:r>
        <w:rPr>
          <w:rStyle w:val="13"/>
          <w:rFonts w:ascii="Times New Roman" w:hAnsi="Times New Roman" w:cs="Times New Roman"/>
          <w:iCs/>
          <w:color w:val="191919" w:themeColor="background1" w:themeShade="1A"/>
          <w:sz w:val="28"/>
          <w:szCs w:val="28"/>
          <w:u w:val="none"/>
          <w:lang w:val="en-US"/>
        </w:rPr>
        <w:t>“Gross domestic product, current prices”</w:t>
      </w:r>
      <w:r>
        <w:rPr>
          <w:rStyle w:val="13"/>
          <w:rFonts w:ascii="Times New Roman" w:hAnsi="Times New Roman" w:cs="Times New Roman"/>
          <w:iCs/>
          <w:color w:val="191919" w:themeColor="background1" w:themeShade="1A"/>
          <w:sz w:val="28"/>
          <w:szCs w:val="28"/>
          <w:u w:val="none"/>
          <w:lang w:val="en-US"/>
        </w:rPr>
        <w:fldChar w:fldCharType="end"/>
      </w:r>
      <w:r>
        <w:rPr>
          <w:rStyle w:val="15"/>
          <w:rFonts w:ascii="Times New Roman" w:hAnsi="Times New Roman" w:cs="Times New Roman"/>
          <w:i w:val="0"/>
          <w:color w:val="191919" w:themeColor="background1" w:themeShade="1A"/>
          <w:sz w:val="28"/>
          <w:szCs w:val="28"/>
          <w:lang w:val="en-US"/>
        </w:rPr>
        <w:t>. International Monetary Fund. International Monetary Fund. October 2015</w:t>
      </w:r>
      <w:r>
        <w:rPr>
          <w:rStyle w:val="26"/>
          <w:rFonts w:ascii="Times New Roman" w:hAnsi="Times New Roman" w:cs="Times New Roman"/>
          <w:iCs/>
          <w:color w:val="191919" w:themeColor="background1" w:themeShade="1A"/>
          <w:sz w:val="28"/>
          <w:szCs w:val="28"/>
          <w:lang w:val="en-US"/>
        </w:rPr>
        <w:t>. Retrieved </w:t>
      </w:r>
      <w:r>
        <w:rPr>
          <w:rStyle w:val="24"/>
          <w:rFonts w:ascii="Times New Roman" w:hAnsi="Times New Roman" w:cs="Times New Roman"/>
          <w:iCs/>
          <w:color w:val="191919" w:themeColor="background1" w:themeShade="1A"/>
          <w:sz w:val="28"/>
          <w:szCs w:val="28"/>
          <w:lang w:val="en-US"/>
        </w:rPr>
        <w:t>11 October</w:t>
      </w:r>
      <w:r>
        <w:rPr>
          <w:rStyle w:val="26"/>
          <w:rFonts w:ascii="Times New Roman" w:hAnsi="Times New Roman" w:cs="Times New Roman"/>
          <w:iCs/>
          <w:color w:val="191919" w:themeColor="background1" w:themeShade="1A"/>
          <w:sz w:val="28"/>
          <w:szCs w:val="28"/>
          <w:lang w:val="en-US"/>
        </w:rPr>
        <w:t> 2015</w:t>
      </w:r>
      <w:r>
        <w:rPr>
          <w:rStyle w:val="15"/>
          <w:rFonts w:ascii="Times New Roman" w:hAnsi="Times New Roman" w:cs="Times New Roman"/>
          <w:i w:val="0"/>
          <w:color w:val="191919" w:themeColor="background1" w:themeShade="1A"/>
          <w:sz w:val="28"/>
          <w:szCs w:val="28"/>
          <w:lang w:val="en-US"/>
        </w:rPr>
        <w:t>.</w:t>
      </w:r>
    </w:p>
    <w:p>
      <w:pPr>
        <w:numPr>
          <w:ilvl w:val="0"/>
          <w:numId w:val="12"/>
        </w:numPr>
        <w:tabs>
          <w:tab w:val="left" w:pos="426"/>
          <w:tab w:val="left" w:pos="851"/>
        </w:tabs>
        <w:spacing w:after="0" w:line="240" w:lineRule="auto"/>
        <w:ind w:left="0" w:firstLine="0"/>
        <w:jc w:val="both"/>
        <w:rPr>
          <w:rStyle w:val="15"/>
          <w:rFonts w:ascii="Times New Roman" w:hAnsi="Times New Roman" w:cs="Times New Roman"/>
          <w:i w:val="0"/>
          <w:iCs w:val="0"/>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w:t>
      </w:r>
      <w:r>
        <w:fldChar w:fldCharType="begin"/>
      </w:r>
      <w:r>
        <w:instrText xml:space="preserve"> HYPERLINK "http://www.imf.org/external/pubs/ft/weo/2009/01/index.htm" </w:instrText>
      </w:r>
      <w:r>
        <w:fldChar w:fldCharType="separate"/>
      </w:r>
      <w:r>
        <w:rPr>
          <w:rStyle w:val="13"/>
          <w:rFonts w:ascii="Times New Roman" w:hAnsi="Times New Roman" w:cs="Times New Roman"/>
          <w:iCs/>
          <w:color w:val="191919" w:themeColor="background1" w:themeShade="1A"/>
          <w:sz w:val="28"/>
          <w:szCs w:val="28"/>
          <w:u w:val="none"/>
          <w:lang w:val="en-US"/>
        </w:rPr>
        <w:t>"IMF World Economic Outlook, Crisis and Recovery, April 2009"</w:t>
      </w:r>
      <w:r>
        <w:rPr>
          <w:rStyle w:val="13"/>
          <w:rFonts w:ascii="Times New Roman" w:hAnsi="Times New Roman" w:cs="Times New Roman"/>
          <w:iCs/>
          <w:color w:val="191919" w:themeColor="background1" w:themeShade="1A"/>
          <w:sz w:val="28"/>
          <w:szCs w:val="28"/>
          <w:u w:val="none"/>
          <w:lang w:val="en-US"/>
        </w:rPr>
        <w:fldChar w:fldCharType="end"/>
      </w:r>
      <w:r>
        <w:rPr>
          <w:rStyle w:val="15"/>
          <w:rFonts w:ascii="Times New Roman" w:hAnsi="Times New Roman" w:cs="Times New Roman"/>
          <w:i w:val="0"/>
          <w:color w:val="191919" w:themeColor="background1" w:themeShade="1A"/>
          <w:sz w:val="28"/>
          <w:szCs w:val="28"/>
          <w:lang w:val="en-US"/>
        </w:rPr>
        <w:t>. Imf.org. 2009-04-16</w:t>
      </w:r>
      <w:r>
        <w:rPr>
          <w:rStyle w:val="26"/>
          <w:rFonts w:ascii="Times New Roman" w:hAnsi="Times New Roman" w:cs="Times New Roman"/>
          <w:iCs/>
          <w:color w:val="191919" w:themeColor="background1" w:themeShade="1A"/>
          <w:sz w:val="28"/>
          <w:szCs w:val="28"/>
          <w:lang w:val="en-US"/>
        </w:rPr>
        <w:t>. Retrieved </w:t>
      </w:r>
      <w:r>
        <w:rPr>
          <w:rStyle w:val="24"/>
          <w:rFonts w:ascii="Times New Roman" w:hAnsi="Times New Roman" w:cs="Times New Roman"/>
          <w:iCs/>
          <w:color w:val="191919" w:themeColor="background1" w:themeShade="1A"/>
          <w:sz w:val="28"/>
          <w:szCs w:val="28"/>
          <w:lang w:val="en-US"/>
        </w:rPr>
        <w:t>2012-07-17</w:t>
      </w:r>
      <w:r>
        <w:rPr>
          <w:rStyle w:val="15"/>
          <w:rFonts w:ascii="Times New Roman" w:hAnsi="Times New Roman" w:cs="Times New Roman"/>
          <w:i w:val="0"/>
          <w:color w:val="191919" w:themeColor="background1" w:themeShade="1A"/>
          <w:sz w:val="28"/>
          <w:szCs w:val="28"/>
          <w:lang w:val="en-US"/>
        </w:rPr>
        <w:t>.</w:t>
      </w:r>
    </w:p>
    <w:p>
      <w:pPr>
        <w:tabs>
          <w:tab w:val="left" w:pos="426"/>
          <w:tab w:val="left" w:pos="851"/>
        </w:tabs>
        <w:spacing w:after="0" w:line="240" w:lineRule="auto"/>
        <w:jc w:val="both"/>
        <w:rPr>
          <w:rStyle w:val="15"/>
          <w:rFonts w:ascii="Times New Roman" w:hAnsi="Times New Roman" w:cs="Times New Roman"/>
          <w:i w:val="0"/>
          <w:color w:val="191919" w:themeColor="background1" w:themeShade="1A"/>
          <w:sz w:val="28"/>
          <w:szCs w:val="28"/>
          <w:lang w:val="en-US"/>
        </w:rPr>
      </w:pPr>
    </w:p>
    <w:p>
      <w:pPr>
        <w:tabs>
          <w:tab w:val="left" w:pos="426"/>
          <w:tab w:val="left" w:pos="851"/>
        </w:tabs>
        <w:spacing w:after="0" w:line="240" w:lineRule="auto"/>
        <w:jc w:val="both"/>
        <w:rPr>
          <w:rStyle w:val="15"/>
          <w:rFonts w:ascii="Times New Roman" w:hAnsi="Times New Roman" w:cs="Times New Roman"/>
          <w:b/>
          <w:i w:val="0"/>
          <w:color w:val="191919" w:themeColor="background1" w:themeShade="1A"/>
          <w:sz w:val="28"/>
          <w:szCs w:val="28"/>
          <w:lang w:val="en-US"/>
        </w:rPr>
      </w:pPr>
    </w:p>
    <w:p>
      <w:pPr>
        <w:tabs>
          <w:tab w:val="left" w:pos="426"/>
          <w:tab w:val="left" w:pos="851"/>
        </w:tabs>
        <w:spacing w:after="0" w:line="240" w:lineRule="auto"/>
        <w:jc w:val="both"/>
        <w:rPr>
          <w:rStyle w:val="15"/>
          <w:rFonts w:ascii="Times New Roman" w:hAnsi="Times New Roman" w:cs="Times New Roman"/>
          <w:b/>
          <w:i w:val="0"/>
          <w:color w:val="191919" w:themeColor="background1" w:themeShade="1A"/>
          <w:sz w:val="28"/>
          <w:szCs w:val="28"/>
          <w:lang w:val="en-US"/>
        </w:rPr>
      </w:pPr>
      <w:r>
        <w:rPr>
          <w:rStyle w:val="15"/>
          <w:rFonts w:ascii="Times New Roman" w:hAnsi="Times New Roman" w:cs="Times New Roman"/>
          <w:b/>
          <w:i w:val="0"/>
          <w:color w:val="191919" w:themeColor="background1" w:themeShade="1A"/>
          <w:sz w:val="28"/>
          <w:szCs w:val="28"/>
          <w:lang w:val="en-US"/>
        </w:rPr>
        <w:t xml:space="preserve">Lecture 4. Basics of the world trade theory </w:t>
      </w:r>
    </w:p>
    <w:p>
      <w:pPr>
        <w:tabs>
          <w:tab w:val="left" w:pos="426"/>
          <w:tab w:val="left" w:pos="851"/>
        </w:tabs>
        <w:spacing w:after="0" w:line="240" w:lineRule="auto"/>
        <w:jc w:val="both"/>
        <w:rPr>
          <w:rStyle w:val="15"/>
          <w:rFonts w:ascii="Times New Roman" w:hAnsi="Times New Roman" w:cs="Times New Roman"/>
          <w:i w:val="0"/>
          <w:color w:val="191919" w:themeColor="background1" w:themeShade="1A"/>
          <w:sz w:val="28"/>
          <w:szCs w:val="28"/>
          <w:lang w:val="en-US"/>
        </w:rPr>
      </w:pPr>
      <w:r>
        <w:rPr>
          <w:rStyle w:val="15"/>
          <w:rFonts w:ascii="Times New Roman" w:hAnsi="Times New Roman" w:cs="Times New Roman"/>
          <w:i w:val="0"/>
          <w:color w:val="191919" w:themeColor="background1" w:themeShade="1A"/>
          <w:sz w:val="28"/>
          <w:szCs w:val="28"/>
          <w:lang w:val="en-US"/>
        </w:rPr>
        <w:t>The gravity model</w:t>
      </w:r>
    </w:p>
    <w:p>
      <w:pPr>
        <w:tabs>
          <w:tab w:val="left" w:pos="426"/>
          <w:tab w:val="left" w:pos="851"/>
        </w:tabs>
        <w:spacing w:after="0" w:line="240" w:lineRule="auto"/>
        <w:jc w:val="both"/>
        <w:rPr>
          <w:rStyle w:val="15"/>
          <w:rFonts w:ascii="Times New Roman" w:hAnsi="Times New Roman" w:cs="Times New Roman"/>
          <w:i w:val="0"/>
          <w:color w:val="191919" w:themeColor="background1" w:themeShade="1A"/>
          <w:sz w:val="28"/>
          <w:szCs w:val="28"/>
          <w:lang w:val="en-US"/>
        </w:rPr>
      </w:pPr>
      <w:r>
        <w:rPr>
          <w:rStyle w:val="15"/>
          <w:rFonts w:ascii="Times New Roman" w:hAnsi="Times New Roman" w:cs="Times New Roman"/>
          <w:i w:val="0"/>
          <w:color w:val="191919" w:themeColor="background1" w:themeShade="1A"/>
          <w:sz w:val="28"/>
          <w:szCs w:val="28"/>
          <w:lang w:val="en-US"/>
        </w:rPr>
        <w:t>Labour productivity and Comparative advantage</w:t>
      </w:r>
    </w:p>
    <w:p>
      <w:pPr>
        <w:tabs>
          <w:tab w:val="left" w:pos="426"/>
          <w:tab w:val="left" w:pos="851"/>
        </w:tabs>
        <w:spacing w:after="0" w:line="240" w:lineRule="auto"/>
        <w:jc w:val="both"/>
        <w:rPr>
          <w:rStyle w:val="15"/>
          <w:rFonts w:ascii="Times New Roman" w:hAnsi="Times New Roman" w:cs="Times New Roman"/>
          <w:i w:val="0"/>
          <w:color w:val="191919" w:themeColor="background1" w:themeShade="1A"/>
          <w:sz w:val="28"/>
          <w:szCs w:val="28"/>
          <w:lang w:val="en-US"/>
        </w:rPr>
      </w:pPr>
      <w:r>
        <w:rPr>
          <w:rStyle w:val="15"/>
          <w:rFonts w:ascii="Times New Roman" w:hAnsi="Times New Roman" w:cs="Times New Roman"/>
          <w:i w:val="0"/>
          <w:color w:val="191919" w:themeColor="background1" w:themeShade="1A"/>
          <w:sz w:val="28"/>
          <w:szCs w:val="28"/>
          <w:lang w:val="en-US"/>
        </w:rPr>
        <w:t>Ricardo model</w:t>
      </w:r>
    </w:p>
    <w:p>
      <w:pPr>
        <w:tabs>
          <w:tab w:val="left" w:pos="426"/>
          <w:tab w:val="left" w:pos="851"/>
        </w:tabs>
        <w:spacing w:after="0" w:line="240" w:lineRule="auto"/>
        <w:jc w:val="both"/>
        <w:rPr>
          <w:rStyle w:val="15"/>
          <w:rFonts w:ascii="Times New Roman" w:hAnsi="Times New Roman" w:cs="Times New Roman"/>
          <w:i w:val="0"/>
          <w:color w:val="191919" w:themeColor="background1" w:themeShade="1A"/>
          <w:sz w:val="28"/>
          <w:szCs w:val="28"/>
          <w:lang w:val="en-US"/>
        </w:rPr>
      </w:pPr>
    </w:p>
    <w:p>
      <w:pPr>
        <w:pStyle w:val="18"/>
        <w:numPr>
          <w:ilvl w:val="0"/>
          <w:numId w:val="13"/>
        </w:numPr>
        <w:tabs>
          <w:tab w:val="left" w:pos="284"/>
        </w:tabs>
        <w:spacing w:after="0" w:line="240" w:lineRule="auto"/>
        <w:ind w:left="0" w:firstLine="0"/>
        <w:jc w:val="both"/>
        <w:rPr>
          <w:rFonts w:ascii="Times New Roman" w:hAnsi="Times New Roman"/>
          <w:b/>
          <w:color w:val="191919" w:themeColor="background1" w:themeShade="1A"/>
          <w:sz w:val="28"/>
          <w:szCs w:val="28"/>
          <w:lang w:val="en-US"/>
        </w:rPr>
      </w:pPr>
      <w:r>
        <w:rPr>
          <w:rFonts w:ascii="Times New Roman" w:hAnsi="Times New Roman"/>
          <w:b/>
          <w:color w:val="191919" w:themeColor="background1" w:themeShade="1A"/>
          <w:sz w:val="28"/>
          <w:szCs w:val="28"/>
          <w:lang w:val="en-US"/>
        </w:rPr>
        <w:t>The Gravity Model</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International supply chains are transforming the world.</w:t>
      </w:r>
    </w:p>
    <w:p>
      <w:pPr>
        <w:numPr>
          <w:ilvl w:val="0"/>
          <w:numId w:val="14"/>
        </w:numPr>
        <w:spacing w:after="0" w:line="240" w:lineRule="auto"/>
        <w:ind w:left="0"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They revolutionised development options facing poor nations – now they can join supply chains rather than having to invest decades in building their own.</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Astoundingly fast industrialisation is the result for developing nations who have chosen the right policies and have a high-tech neighbour.</w:t>
      </w:r>
    </w:p>
    <w:p>
      <w:pPr>
        <w:numPr>
          <w:ilvl w:val="0"/>
          <w:numId w:val="15"/>
        </w:numPr>
        <w:spacing w:after="0" w:line="240" w:lineRule="auto"/>
        <w:ind w:left="0"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Off shoring of labour-intensive manufacturing stages and the attendant international mobility of firm-specific technology launched era-defining growth in emerging markets.</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Historic income gaps are narrowing as the North de-industrialises and the South industrialises (Deband 2006) -- a reversal of fortunes that constitutes perhaps the most momentous global economic change in the last 100 years. As Figures 1 and 2 show, this is happening very quickly.</w:t>
      </w:r>
    </w:p>
    <w:p>
      <w:pPr>
        <w:spacing w:after="0" w:line="240" w:lineRule="auto"/>
        <w:jc w:val="both"/>
        <w:textAlignment w:val="baseline"/>
        <w:rPr>
          <w:rFonts w:ascii="Times New Roman" w:hAnsi="Times New Roman" w:eastAsia="Times New Roman"/>
          <w:bCs/>
          <w:color w:val="191919" w:themeColor="background1" w:themeShade="1A"/>
          <w:sz w:val="28"/>
          <w:szCs w:val="28"/>
          <w:lang w:val="en-US" w:eastAsia="ru-RU"/>
        </w:rPr>
      </w:pPr>
    </w:p>
    <w:p>
      <w:pPr>
        <w:spacing w:after="0" w:line="240" w:lineRule="auto"/>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bCs/>
          <w:color w:val="191919" w:themeColor="background1" w:themeShade="1A"/>
          <w:sz w:val="28"/>
          <w:szCs w:val="28"/>
          <w:lang w:val="en-US" w:eastAsia="ru-RU"/>
        </w:rPr>
        <w:t>Figure 1</w:t>
      </w:r>
      <w:r>
        <w:rPr>
          <w:rFonts w:ascii="Times New Roman" w:hAnsi="Times New Roman" w:eastAsia="Times New Roman"/>
          <w:color w:val="191919" w:themeColor="background1" w:themeShade="1A"/>
          <w:sz w:val="28"/>
          <w:szCs w:val="28"/>
          <w:lang w:val="en-US" w:eastAsia="ru-RU"/>
        </w:rPr>
        <w:t>. Reversal of the big income divergence</w:t>
      </w:r>
    </w:p>
    <w:p>
      <w:pPr>
        <w:spacing w:after="0" w:line="240" w:lineRule="auto"/>
        <w:jc w:val="both"/>
        <w:textAlignment w:val="baseline"/>
        <w:rPr>
          <w:rFonts w:ascii="Times New Roman" w:hAnsi="Times New Roman" w:eastAsia="Times New Roman"/>
          <w:color w:val="191919" w:themeColor="background1" w:themeShade="1A"/>
          <w:sz w:val="28"/>
          <w:szCs w:val="28"/>
          <w:lang w:val="en-US" w:eastAsia="ru-RU"/>
        </w:rPr>
      </w:pPr>
    </w:p>
    <w:p>
      <w:pPr>
        <w:spacing w:after="0" w:line="240" w:lineRule="auto"/>
        <w:ind w:firstLine="567"/>
        <w:jc w:val="center"/>
        <w:textAlignment w:val="baseline"/>
        <w:rPr>
          <w:rFonts w:ascii="Times New Roman" w:hAnsi="Times New Roman" w:eastAsia="Times New Roman"/>
          <w:color w:val="191919" w:themeColor="background1" w:themeShade="1A"/>
          <w:sz w:val="28"/>
          <w:szCs w:val="28"/>
          <w:lang w:eastAsia="ru-RU"/>
        </w:rPr>
      </w:pPr>
      <w:r>
        <w:rPr>
          <w:rFonts w:ascii="Times New Roman" w:hAnsi="Times New Roman" w:eastAsia="Times New Roman"/>
          <w:color w:val="191919" w:themeColor="background1" w:themeShade="1A"/>
          <w:sz w:val="28"/>
          <w:szCs w:val="28"/>
          <w:lang w:eastAsia="ru-RU"/>
        </w:rPr>
        <w:drawing>
          <wp:inline distT="0" distB="0" distL="0" distR="0">
            <wp:extent cx="3138805" cy="2178050"/>
            <wp:effectExtent l="19050" t="0" r="4171" b="0"/>
            <wp:docPr id="9" name="Рисунок 6" descr="https://voxeu.org/sites/default/files/image/FromApr2012/baldwin%20fig1%2010%20ju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6" descr="https://voxeu.org/sites/default/files/image/FromApr2012/baldwin%20fig1%2010%20june.png"/>
                    <pic:cNvPicPr>
                      <a:picLocks noChangeAspect="1" noChangeArrowheads="1"/>
                    </pic:cNvPicPr>
                  </pic:nvPicPr>
                  <pic:blipFill>
                    <a:blip r:embed="rId10" cstate="print"/>
                    <a:srcRect/>
                    <a:stretch>
                      <a:fillRect/>
                    </a:stretch>
                  </pic:blipFill>
                  <pic:spPr>
                    <a:xfrm>
                      <a:off x="0" y="0"/>
                      <a:ext cx="3140559" cy="2179684"/>
                    </a:xfrm>
                    <a:prstGeom prst="rect">
                      <a:avLst/>
                    </a:prstGeom>
                    <a:noFill/>
                    <a:ln w="9525">
                      <a:noFill/>
                      <a:miter lim="800000"/>
                      <a:headEnd/>
                      <a:tailEnd/>
                    </a:ln>
                  </pic:spPr>
                </pic:pic>
              </a:graphicData>
            </a:graphic>
          </wp:inline>
        </w:drawing>
      </w:r>
    </w:p>
    <w:p>
      <w:pPr>
        <w:spacing w:after="0" w:line="240" w:lineRule="auto"/>
        <w:ind w:firstLine="567"/>
        <w:jc w:val="both"/>
        <w:textAlignment w:val="baseline"/>
        <w:rPr>
          <w:rFonts w:ascii="Times New Roman" w:hAnsi="Times New Roman" w:eastAsia="Times New Roman"/>
          <w:color w:val="191919" w:themeColor="background1" w:themeShade="1A"/>
          <w:sz w:val="24"/>
          <w:szCs w:val="24"/>
          <w:lang w:val="en-US" w:eastAsia="ru-RU"/>
        </w:rPr>
      </w:pPr>
      <w:r>
        <w:rPr>
          <w:rFonts w:ascii="Times New Roman" w:hAnsi="Times New Roman" w:eastAsia="Times New Roman"/>
          <w:i/>
          <w:iCs/>
          <w:color w:val="191919" w:themeColor="background1" w:themeShade="1A"/>
          <w:sz w:val="24"/>
          <w:szCs w:val="24"/>
          <w:lang w:val="en-US" w:eastAsia="ru-RU"/>
        </w:rPr>
        <w:t>Source</w:t>
      </w:r>
      <w:r>
        <w:rPr>
          <w:rFonts w:ascii="Times New Roman" w:hAnsi="Times New Roman" w:eastAsia="Times New Roman"/>
          <w:color w:val="191919" w:themeColor="background1" w:themeShade="1A"/>
          <w:sz w:val="24"/>
          <w:szCs w:val="24"/>
          <w:lang w:val="en-US" w:eastAsia="ru-RU"/>
        </w:rPr>
        <w:t>: World Databank from 1960; Maddison pre-1960.</w:t>
      </w:r>
    </w:p>
    <w:p>
      <w:pPr>
        <w:spacing w:after="0" w:line="240" w:lineRule="auto"/>
        <w:ind w:firstLine="567"/>
        <w:jc w:val="both"/>
        <w:textAlignment w:val="baseline"/>
        <w:rPr>
          <w:rFonts w:ascii="Times New Roman" w:hAnsi="Times New Roman" w:eastAsia="Times New Roman"/>
          <w:color w:val="191919" w:themeColor="background1" w:themeShade="1A"/>
          <w:sz w:val="24"/>
          <w:szCs w:val="24"/>
          <w:lang w:val="en-US" w:eastAsia="ru-RU"/>
        </w:rPr>
      </w:pPr>
      <w:r>
        <w:rPr>
          <w:rFonts w:ascii="Times New Roman" w:hAnsi="Times New Roman" w:eastAsia="Times New Roman"/>
          <w:i/>
          <w:iCs/>
          <w:color w:val="191919" w:themeColor="background1" w:themeShade="1A"/>
          <w:sz w:val="24"/>
          <w:szCs w:val="24"/>
          <w:lang w:val="en-US" w:eastAsia="ru-RU"/>
        </w:rPr>
        <w:t>Note</w:t>
      </w:r>
      <w:r>
        <w:rPr>
          <w:rFonts w:ascii="Times New Roman" w:hAnsi="Times New Roman" w:eastAsia="Times New Roman"/>
          <w:color w:val="191919" w:themeColor="background1" w:themeShade="1A"/>
          <w:sz w:val="24"/>
          <w:szCs w:val="24"/>
          <w:lang w:val="en-US" w:eastAsia="ru-RU"/>
        </w:rPr>
        <w:t>: Pre-1960, G7=W Europe, US, Canada, Australia &amp; N Zealand</w:t>
      </w:r>
    </w:p>
    <w:p>
      <w:pPr>
        <w:spacing w:after="0" w:line="240" w:lineRule="auto"/>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 </w:t>
      </w:r>
      <w:r>
        <w:rPr>
          <w:rFonts w:ascii="Times New Roman" w:hAnsi="Times New Roman" w:eastAsia="Times New Roman"/>
          <w:bCs/>
          <w:color w:val="191919" w:themeColor="background1" w:themeShade="1A"/>
          <w:sz w:val="28"/>
          <w:szCs w:val="28"/>
          <w:lang w:val="en-US" w:eastAsia="ru-RU"/>
        </w:rPr>
        <w:t>Figure 2</w:t>
      </w:r>
      <w:r>
        <w:rPr>
          <w:rFonts w:ascii="Times New Roman" w:hAnsi="Times New Roman" w:eastAsia="Times New Roman"/>
          <w:color w:val="191919" w:themeColor="background1" w:themeShade="1A"/>
          <w:sz w:val="28"/>
          <w:szCs w:val="28"/>
          <w:lang w:val="en-US" w:eastAsia="ru-RU"/>
        </w:rPr>
        <w:t>. G7 share of global manufacturing</w:t>
      </w:r>
    </w:p>
    <w:p>
      <w:pPr>
        <w:spacing w:after="0" w:line="240" w:lineRule="auto"/>
        <w:ind w:firstLine="567"/>
        <w:jc w:val="center"/>
        <w:textAlignment w:val="baseline"/>
        <w:rPr>
          <w:rFonts w:ascii="Times New Roman" w:hAnsi="Times New Roman" w:eastAsia="Times New Roman"/>
          <w:color w:val="191919" w:themeColor="background1" w:themeShade="1A"/>
          <w:sz w:val="28"/>
          <w:szCs w:val="28"/>
          <w:lang w:eastAsia="ru-RU"/>
        </w:rPr>
      </w:pPr>
      <w:r>
        <w:rPr>
          <w:rFonts w:ascii="Times New Roman" w:hAnsi="Times New Roman" w:eastAsia="Times New Roman"/>
          <w:color w:val="191919" w:themeColor="background1" w:themeShade="1A"/>
          <w:sz w:val="28"/>
          <w:szCs w:val="28"/>
          <w:lang w:eastAsia="ru-RU"/>
        </w:rPr>
        <w:drawing>
          <wp:inline distT="0" distB="0" distL="0" distR="0">
            <wp:extent cx="2803525" cy="2708910"/>
            <wp:effectExtent l="19050" t="0" r="0" b="0"/>
            <wp:docPr id="10" name="Рисунок 7" descr="https://voxeu.org/sites/default/files/image/FromApr2012/baldwin%20fig2%2010%20ju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7" descr="https://voxeu.org/sites/default/files/image/FromApr2012/baldwin%20fig2%2010%20june.png"/>
                    <pic:cNvPicPr>
                      <a:picLocks noChangeAspect="1" noChangeArrowheads="1"/>
                    </pic:cNvPicPr>
                  </pic:nvPicPr>
                  <pic:blipFill>
                    <a:blip r:embed="rId11" cstate="print"/>
                    <a:srcRect/>
                    <a:stretch>
                      <a:fillRect/>
                    </a:stretch>
                  </pic:blipFill>
                  <pic:spPr>
                    <a:xfrm>
                      <a:off x="0" y="0"/>
                      <a:ext cx="2803525" cy="2708910"/>
                    </a:xfrm>
                    <a:prstGeom prst="rect">
                      <a:avLst/>
                    </a:prstGeom>
                    <a:noFill/>
                    <a:ln w="9525">
                      <a:noFill/>
                      <a:miter lim="800000"/>
                      <a:headEnd/>
                      <a:tailEnd/>
                    </a:ln>
                  </pic:spPr>
                </pic:pic>
              </a:graphicData>
            </a:graphic>
          </wp:inline>
        </w:drawing>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i/>
          <w:iCs/>
          <w:color w:val="191919" w:themeColor="background1" w:themeShade="1A"/>
          <w:sz w:val="28"/>
          <w:szCs w:val="28"/>
          <w:lang w:val="en-US" w:eastAsia="ru-RU"/>
        </w:rPr>
        <w:t>Source</w:t>
      </w:r>
      <w:r>
        <w:rPr>
          <w:rFonts w:ascii="Times New Roman" w:hAnsi="Times New Roman" w:eastAsia="Times New Roman"/>
          <w:color w:val="191919" w:themeColor="background1" w:themeShade="1A"/>
          <w:sz w:val="28"/>
          <w:szCs w:val="28"/>
          <w:lang w:val="en-US" w:eastAsia="ru-RU"/>
        </w:rPr>
        <w:t>: UN online database, unstats.un.org</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i/>
          <w:iCs/>
          <w:color w:val="191919" w:themeColor="background1" w:themeShade="1A"/>
          <w:sz w:val="28"/>
          <w:szCs w:val="28"/>
          <w:lang w:val="en-US" w:eastAsia="ru-RU"/>
        </w:rPr>
        <w:t>Note</w:t>
      </w:r>
      <w:r>
        <w:rPr>
          <w:rFonts w:ascii="Times New Roman" w:hAnsi="Times New Roman" w:eastAsia="Times New Roman"/>
          <w:color w:val="191919" w:themeColor="background1" w:themeShade="1A"/>
          <w:sz w:val="28"/>
          <w:szCs w:val="28"/>
          <w:lang w:val="en-US" w:eastAsia="ru-RU"/>
        </w:rPr>
        <w:t>: HQ economies = G7; other factory economies = Korea, Malaysia, Thailand, Singapore, India, Indonesia, Brazil, Mexico, and Turkey.</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 rise in global supply chains is also transforming international trade patterns, as trade in intermediates becomes more and more important. This change in trade patterns requires a rethinking of the standard workhorse model to understand trade flows, i.e. the gravity model.</w:t>
      </w:r>
    </w:p>
    <w:p>
      <w:pPr>
        <w:spacing w:after="0" w:line="240" w:lineRule="auto"/>
        <w:jc w:val="both"/>
        <w:textAlignment w:val="baseline"/>
        <w:outlineLvl w:val="0"/>
        <w:rPr>
          <w:rFonts w:ascii="Times New Roman" w:hAnsi="Times New Roman" w:eastAsia="Times New Roman"/>
          <w:b/>
          <w:bCs/>
          <w:color w:val="191919" w:themeColor="background1" w:themeShade="1A"/>
          <w:kern w:val="36"/>
          <w:sz w:val="28"/>
          <w:szCs w:val="28"/>
          <w:lang w:val="en-US" w:eastAsia="ru-RU"/>
        </w:rPr>
      </w:pPr>
      <w:r>
        <w:rPr>
          <w:rFonts w:ascii="Times New Roman" w:hAnsi="Times New Roman" w:eastAsia="Times New Roman"/>
          <w:b/>
          <w:bCs/>
          <w:color w:val="191919" w:themeColor="background1" w:themeShade="1A"/>
          <w:kern w:val="36"/>
          <w:sz w:val="28"/>
          <w:szCs w:val="28"/>
          <w:lang w:val="en-US" w:eastAsia="ru-RU"/>
        </w:rPr>
        <w:t>The gravity model</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A standard tool in assessing bilateral trade’s causes and effects is the gravity model. In a recent paper (Baldwin and Taglioni 2011), we show that the gravity equation is not valid for trade flows where trade in parts and components is important.</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 basic point is simple.</w:t>
      </w:r>
    </w:p>
    <w:p>
      <w:pPr>
        <w:numPr>
          <w:ilvl w:val="0"/>
          <w:numId w:val="16"/>
        </w:numPr>
        <w:spacing w:after="0" w:line="240" w:lineRule="auto"/>
        <w:ind w:left="0"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 standard gravity equation is derived from a consumer expenditure equation with the relative price eliminated using a general equilibrium constraint (Anderson 1979, Bergstrand 1985, 1989, 1990).</w:t>
      </w:r>
    </w:p>
    <w:p>
      <w:pPr>
        <w:numPr>
          <w:ilvl w:val="0"/>
          <w:numId w:val="16"/>
        </w:numPr>
        <w:spacing w:after="0" w:line="240" w:lineRule="auto"/>
        <w:ind w:left="0"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As such the standard formulation and empirical application (Anderson and van Wincoop 2003) is best adapted to explaining trade in consumer goods.</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When consumer trade dominates, the GDP of the destination nation is a good proxy for consumer demand; the GDP of the origin nation is a good proxy of its total supply.</w:t>
      </w:r>
    </w:p>
    <w:p>
      <w:pPr>
        <w:numPr>
          <w:ilvl w:val="0"/>
          <w:numId w:val="17"/>
        </w:numPr>
        <w:spacing w:after="0" w:line="240" w:lineRule="auto"/>
        <w:ind w:left="0"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When international trade in intermediate goods dominates, the use of GDPs for the supply and demand proxies is less appropriate.</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Consider, for instance, the determinants of Thai imports of auto parts from the Philippines. The standard formulation would use Thai GDP to explain Thailand’s import demand, however, the underlying demand for parts is generated by Thai gross production of autos, not its value-added in autos. As long as the ratio of local to imported content does not change, value added is a reasonable proxy for gross output, so the standard regression is likely to give reasonable results. However, for regions where production networks are emerging, value added can be expected to be a poor proxy for consumer demand.</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We use the Krugman and Venables (1996) model to explore the impact of allowing intermediates trade in the gravity model. The key differences show up in the definition of the economic “mass” variables since purchases are now driven both by consumer demand (for which income is the demand shifter) and intermediate demand (for which total production is the demand shifter).</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This observation generates a number of testable hypotheses.</w:t>
      </w:r>
    </w:p>
    <w:p>
      <w:pPr>
        <w:numPr>
          <w:ilvl w:val="0"/>
          <w:numId w:val="18"/>
        </w:numPr>
        <w:spacing w:after="0" w:line="240" w:lineRule="auto"/>
        <w:ind w:left="0"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 estimated coefficient on the GDPs should be lower for nations where parts trade is important, and should fall as the importance of parts trade rises.</w:t>
      </w:r>
    </w:p>
    <w:p>
      <w:pPr>
        <w:numPr>
          <w:ilvl w:val="0"/>
          <w:numId w:val="18"/>
        </w:numPr>
        <w:spacing w:after="0" w:line="240" w:lineRule="auto"/>
        <w:ind w:left="0"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As vertical-specialisation trade has become more important in recent years, the GDP point estimates should now be lower.</w:t>
      </w:r>
    </w:p>
    <w:p>
      <w:pPr>
        <w:numPr>
          <w:ilvl w:val="0"/>
          <w:numId w:val="18"/>
        </w:numPr>
        <w:spacing w:after="0" w:line="240" w:lineRule="auto"/>
        <w:ind w:left="0"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In those cases where the GDPs of the trade partners lose explanatory power, bilateral trade should be increasingly well explained by demand in third countries.</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For example, China’s imports should shift from being explained by China’s GDP to being explained by its exports to, say, the US and the EU. There are two ways of phrasing this hypothesis. First, China’s imports are a function of its exports rather than its own GDP. Second, China’s imports are a function of US and EU GDP rather than its own, since US and EU GDP are critical determinants of their imports from China.</w:t>
      </w:r>
    </w:p>
    <w:p>
      <w:pPr>
        <w:spacing w:after="0" w:line="240" w:lineRule="auto"/>
        <w:jc w:val="both"/>
        <w:textAlignment w:val="baseline"/>
        <w:outlineLvl w:val="0"/>
        <w:rPr>
          <w:rFonts w:ascii="Times New Roman" w:hAnsi="Times New Roman" w:eastAsia="Times New Roman"/>
          <w:b/>
          <w:bCs/>
          <w:color w:val="191919" w:themeColor="background1" w:themeShade="1A"/>
          <w:kern w:val="36"/>
          <w:sz w:val="28"/>
          <w:szCs w:val="28"/>
          <w:lang w:val="en-US" w:eastAsia="ru-RU"/>
        </w:rPr>
      </w:pPr>
      <w:r>
        <w:rPr>
          <w:rFonts w:ascii="Times New Roman" w:hAnsi="Times New Roman" w:eastAsia="Times New Roman"/>
          <w:b/>
          <w:bCs/>
          <w:color w:val="191919" w:themeColor="background1" w:themeShade="1A"/>
          <w:kern w:val="36"/>
          <w:sz w:val="28"/>
          <w:szCs w:val="28"/>
          <w:lang w:val="en-US" w:eastAsia="ru-RU"/>
        </w:rPr>
        <w:t>Gravity when parts-and-components trade is important</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To examine these conjectures empirically, we estimate the standard gravity model for different sets of countries and sectors for a panel that spans from 1967 to 2007, allowing for yearly interaction terms. The results for Factory Asia countries, displayed in Figure 3, show the GDP coefficients falling over time, with two clear breaks in the estimated coefficients, 1985 and 1998. The timing and direction of these structural changes are very much in line with the literature on the internationalisation of production.</w:t>
      </w:r>
    </w:p>
    <w:p>
      <w:pPr>
        <w:spacing w:after="0" w:line="240" w:lineRule="auto"/>
        <w:jc w:val="both"/>
        <w:textAlignment w:val="baseline"/>
        <w:rPr>
          <w:rFonts w:ascii="Times New Roman" w:hAnsi="Times New Roman" w:eastAsia="Times New Roman"/>
          <w:bCs/>
          <w:color w:val="191919" w:themeColor="background1" w:themeShade="1A"/>
          <w:sz w:val="28"/>
          <w:szCs w:val="28"/>
          <w:lang w:val="en-US" w:eastAsia="ru-RU"/>
        </w:rPr>
      </w:pPr>
    </w:p>
    <w:p>
      <w:pPr>
        <w:spacing w:after="0" w:line="240" w:lineRule="auto"/>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bCs/>
          <w:color w:val="191919" w:themeColor="background1" w:themeShade="1A"/>
          <w:sz w:val="28"/>
          <w:szCs w:val="28"/>
          <w:lang w:val="en-US" w:eastAsia="ru-RU"/>
        </w:rPr>
        <w:t>Figure 3</w:t>
      </w:r>
      <w:r>
        <w:rPr>
          <w:rFonts w:ascii="Times New Roman" w:hAnsi="Times New Roman" w:eastAsia="Times New Roman"/>
          <w:color w:val="191919" w:themeColor="background1" w:themeShade="1A"/>
          <w:sz w:val="28"/>
          <w:szCs w:val="28"/>
          <w:lang w:val="en-US" w:eastAsia="ru-RU"/>
        </w:rPr>
        <w:t>. GDP coefficients for Factory Asia countries, 1967-2008</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eastAsia="ru-RU"/>
        </w:rPr>
      </w:pPr>
      <w:r>
        <w:rPr>
          <w:rFonts w:ascii="Times New Roman" w:hAnsi="Times New Roman" w:eastAsia="Times New Roman"/>
          <w:color w:val="191919" w:themeColor="background1" w:themeShade="1A"/>
          <w:sz w:val="28"/>
          <w:szCs w:val="28"/>
          <w:lang w:eastAsia="ru-RU"/>
        </w:rPr>
        <w:drawing>
          <wp:inline distT="0" distB="0" distL="0" distR="0">
            <wp:extent cx="5450840" cy="2623820"/>
            <wp:effectExtent l="19050" t="0" r="0" b="0"/>
            <wp:docPr id="11" name="Рисунок 8" descr="https://voxeu.org/sites/default/files/image/FromApr2012/baldwin%20fig3%2010%20ju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8" descr="https://voxeu.org/sites/default/files/image/FromApr2012/baldwin%20fig3%2010%20june.png"/>
                    <pic:cNvPicPr>
                      <a:picLocks noChangeAspect="1" noChangeArrowheads="1"/>
                    </pic:cNvPicPr>
                  </pic:nvPicPr>
                  <pic:blipFill>
                    <a:blip r:embed="rId12" cstate="print"/>
                    <a:srcRect/>
                    <a:stretch>
                      <a:fillRect/>
                    </a:stretch>
                  </pic:blipFill>
                  <pic:spPr>
                    <a:xfrm>
                      <a:off x="0" y="0"/>
                      <a:ext cx="5452110" cy="2624249"/>
                    </a:xfrm>
                    <a:prstGeom prst="rect">
                      <a:avLst/>
                    </a:prstGeom>
                    <a:noFill/>
                    <a:ln w="9525">
                      <a:noFill/>
                      <a:miter lim="800000"/>
                      <a:headEnd/>
                      <a:tailEnd/>
                    </a:ln>
                  </pic:spPr>
                </pic:pic>
              </a:graphicData>
            </a:graphic>
          </wp:inline>
        </w:drawing>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i/>
          <w:iCs/>
          <w:color w:val="191919" w:themeColor="background1" w:themeShade="1A"/>
          <w:sz w:val="28"/>
          <w:szCs w:val="28"/>
          <w:lang w:val="en-US" w:eastAsia="ru-RU"/>
        </w:rPr>
        <w:t>Notes</w:t>
      </w:r>
      <w:r>
        <w:rPr>
          <w:rFonts w:ascii="Times New Roman" w:hAnsi="Times New Roman" w:eastAsia="Times New Roman"/>
          <w:color w:val="191919" w:themeColor="background1" w:themeShade="1A"/>
          <w:sz w:val="28"/>
          <w:szCs w:val="28"/>
          <w:lang w:val="en-US" w:eastAsia="ru-RU"/>
        </w:rPr>
        <w:t xml:space="preserve">: Estimated mass-elasticity coefficients with year interactions and pair fixed effects (as in 10). </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High and low bars show plus/minus 2 standard errors; Factory Asia countries: Japan, Indonesia, Republic of Korea, Malaysia, Thailand, and Taiwan.</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These results are highly suggestive. On data that is known as being dominated by parts and components trade, we find the mass-variable coefficient moving in the expected direction. However, on data where this sort of production fragmentation is not widely viewed as having been important, we find that that mass point-estimates are stable over time.</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What’s more, when we include the ratio of intermediates to total trade as a regressor, both on its own and – more importantly – as an interaction with the economic mass variable, we find importer GDP matters less for countries that import a larger share of intermediates).</w:t>
      </w:r>
    </w:p>
    <w:p>
      <w:pPr>
        <w:spacing w:after="0" w:line="240" w:lineRule="auto"/>
        <w:jc w:val="both"/>
        <w:textAlignment w:val="baseline"/>
        <w:outlineLvl w:val="0"/>
        <w:rPr>
          <w:rFonts w:ascii="Times New Roman" w:hAnsi="Times New Roman" w:eastAsia="Times New Roman"/>
          <w:b/>
          <w:bCs/>
          <w:color w:val="191919" w:themeColor="background1" w:themeShade="1A"/>
          <w:kern w:val="36"/>
          <w:sz w:val="28"/>
          <w:szCs w:val="28"/>
          <w:lang w:val="en-US" w:eastAsia="ru-RU"/>
        </w:rPr>
      </w:pPr>
      <w:r>
        <w:rPr>
          <w:rFonts w:ascii="Times New Roman" w:hAnsi="Times New Roman" w:eastAsia="Times New Roman"/>
          <w:b/>
          <w:bCs/>
          <w:color w:val="191919" w:themeColor="background1" w:themeShade="1A"/>
          <w:kern w:val="36"/>
          <w:sz w:val="28"/>
          <w:szCs w:val="28"/>
          <w:lang w:val="en-US" w:eastAsia="ru-RU"/>
        </w:rPr>
        <w:t>A search for mass proxies when intermediates are important</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Theory suggests that the perfect solution would require data on total costs to proxy for demand for intermediates imports. If the economy is reasonably competitive, gross sales would be a good proxy for the total costs. Unfortunately, such data are not available for a wide range of nations especially the developing nations where production fragmentation is so important. On the mass variable for the origin nation, theory suggests that we use gross output rather than value added. Again such data are not widely available.</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To find a proxy, we start with the destination nation’s mass variable. The total flow of goods is the sum of consumer goods, whose demand depends upon the importing nation’s GDP and intermediate goods whose demand depends upon the total costs of the sector buying the relevant intermediates. This suggests a first measure that adds imports of intermediates to GDP .</w:t>
      </w:r>
    </w:p>
    <w:p>
      <w:pPr>
        <w:spacing w:after="0" w:line="240" w:lineRule="auto"/>
        <w:jc w:val="both"/>
        <w:textAlignment w:val="baseline"/>
        <w:outlineLvl w:val="0"/>
        <w:rPr>
          <w:rFonts w:ascii="Times New Roman" w:hAnsi="Times New Roman" w:eastAsia="Times New Roman"/>
          <w:b/>
          <w:bCs/>
          <w:color w:val="191919" w:themeColor="background1" w:themeShade="1A"/>
          <w:kern w:val="36"/>
          <w:sz w:val="28"/>
          <w:szCs w:val="28"/>
          <w:lang w:val="en-US" w:eastAsia="ru-RU"/>
        </w:rPr>
      </w:pPr>
      <w:r>
        <w:rPr>
          <w:rFonts w:ascii="Times New Roman" w:hAnsi="Times New Roman" w:eastAsia="Times New Roman"/>
          <w:b/>
          <w:bCs/>
          <w:color w:val="191919" w:themeColor="background1" w:themeShade="1A"/>
          <w:kern w:val="36"/>
          <w:sz w:val="28"/>
          <w:szCs w:val="28"/>
          <w:lang w:val="en-US" w:eastAsia="ru-RU"/>
        </w:rPr>
        <w:t>Why do incorrectly-specified mass variables matter?</w:t>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A large number of gravity studies focus on variables that vary across country pairs – say free trade agreements, cultural ties, or immigrant networks. The most recent of these studies employ estimators that control for the mass variables with fixed effects. Such studies do not suffer from mass-variable mis-specification and so are unaffected by our critique. There are however a number of recent studies – especially concerning the ‘distance puzzle’ that do proxy for the production and demand variables with GDP. It is these studies that our work speaks to.</w:t>
      </w:r>
      <w:r>
        <w:fldChar w:fldCharType="begin"/>
      </w:r>
      <w:r>
        <w:instrText xml:space="preserve"> HYPERLINK "https://voxeu.org/article/gravity-model-global-value-chains" \l "fn" </w:instrText>
      </w:r>
      <w:r>
        <w:fldChar w:fldCharType="separate"/>
      </w:r>
      <w:r>
        <w:rPr>
          <w:rFonts w:ascii="Times New Roman" w:hAnsi="Times New Roman" w:eastAsia="Times New Roman"/>
          <w:color w:val="191919" w:themeColor="background1" w:themeShade="1A"/>
          <w:sz w:val="28"/>
          <w:szCs w:val="28"/>
          <w:vertAlign w:val="superscript"/>
          <w:lang w:val="en-US" w:eastAsia="ru-RU"/>
        </w:rPr>
        <w:t>1</w:t>
      </w:r>
      <w:r>
        <w:rPr>
          <w:rFonts w:ascii="Times New Roman" w:hAnsi="Times New Roman" w:eastAsia="Times New Roman"/>
          <w:color w:val="191919" w:themeColor="background1" w:themeShade="1A"/>
          <w:sz w:val="28"/>
          <w:szCs w:val="28"/>
          <w:vertAlign w:val="superscript"/>
          <w:lang w:val="en-US" w:eastAsia="ru-RU"/>
        </w:rPr>
        <w:fldChar w:fldCharType="end"/>
      </w:r>
    </w:p>
    <w:p>
      <w:pPr>
        <w:spacing w:after="0" w:line="240" w:lineRule="auto"/>
        <w:ind w:firstLine="567"/>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Since most of these studies are concerned with a broad set of nations and commodities, the mis-specification of the mass variable probably has a minor impact on the results – as the findings of Bergstrand and Egger (2010) showed. More worrying, however, is the use by authors that focus on trade in parts and components such as Athukorala and Yamashita (2006), Kimura et al (2007), Yokota and Kazuhiko (2008), and Ando and Kimura (2009). These papers all use the consumer good version of the gravity model to describe parts and components trade and thus have mis-specified the mass variable.</w:t>
      </w:r>
    </w:p>
    <w:p>
      <w:pPr>
        <w:spacing w:after="0" w:line="240" w:lineRule="auto"/>
        <w:jc w:val="both"/>
        <w:rPr>
          <w:rFonts w:ascii="Times New Roman" w:hAnsi="Times New Roman"/>
          <w:b/>
          <w:color w:val="191919" w:themeColor="background1" w:themeShade="1A"/>
          <w:sz w:val="28"/>
          <w:szCs w:val="28"/>
          <w:lang w:val="en-US"/>
        </w:rPr>
      </w:pPr>
      <w:r>
        <w:rPr>
          <w:rFonts w:ascii="Times New Roman" w:hAnsi="Times New Roman"/>
          <w:b/>
          <w:color w:val="191919" w:themeColor="background1" w:themeShade="1A"/>
          <w:sz w:val="28"/>
          <w:szCs w:val="28"/>
          <w:lang w:val="en-US"/>
        </w:rPr>
        <w:t>2.Labor productivity and comparative advantage</w:t>
      </w:r>
    </w:p>
    <w:p>
      <w:pPr>
        <w:pStyle w:val="10"/>
        <w:spacing w:before="0" w:beforeAutospacing="0" w:after="0" w:afterAutospacing="0"/>
        <w:ind w:firstLine="567"/>
        <w:jc w:val="both"/>
        <w:rPr>
          <w:i/>
          <w:color w:val="191919" w:themeColor="background1" w:themeShade="1A"/>
          <w:sz w:val="28"/>
          <w:szCs w:val="28"/>
          <w:lang w:val="en-US"/>
        </w:rPr>
      </w:pPr>
      <w:r>
        <w:rPr>
          <w:color w:val="191919" w:themeColor="background1" w:themeShade="1A"/>
          <w:sz w:val="28"/>
          <w:szCs w:val="28"/>
          <w:lang w:val="en-US"/>
        </w:rPr>
        <w:t>His </w:t>
      </w:r>
      <w:r>
        <w:rPr>
          <w:rStyle w:val="12"/>
          <w:i w:val="0"/>
          <w:color w:val="191919" w:themeColor="background1" w:themeShade="1A"/>
          <w:sz w:val="28"/>
          <w:szCs w:val="28"/>
          <w:lang w:val="en-US"/>
        </w:rPr>
        <w:t>subtle </w:t>
      </w:r>
      <w:r>
        <w:rPr>
          <w:color w:val="191919" w:themeColor="background1" w:themeShade="1A"/>
          <w:sz w:val="28"/>
          <w:szCs w:val="28"/>
          <w:lang w:val="en-US"/>
        </w:rPr>
        <w:t>idea is the main basis for most economists’ belief in free trade today. The idea is based on the concepts of </w:t>
      </w:r>
      <w:r>
        <w:rPr>
          <w:rStyle w:val="12"/>
          <w:i w:val="0"/>
          <w:color w:val="191919" w:themeColor="background1" w:themeShade="1A"/>
          <w:sz w:val="28"/>
          <w:szCs w:val="28"/>
          <w:lang w:val="en-US"/>
        </w:rPr>
        <w:t>opportunity cost</w:t>
      </w:r>
      <w:r>
        <w:rPr>
          <w:color w:val="191919" w:themeColor="background1" w:themeShade="1A"/>
          <w:sz w:val="28"/>
          <w:szCs w:val="28"/>
          <w:lang w:val="en-US"/>
        </w:rPr>
        <w:t> and </w:t>
      </w:r>
      <w:r>
        <w:rPr>
          <w:rStyle w:val="12"/>
          <w:i w:val="0"/>
          <w:color w:val="191919" w:themeColor="background1" w:themeShade="1A"/>
          <w:sz w:val="28"/>
          <w:szCs w:val="28"/>
          <w:lang w:val="en-US"/>
        </w:rPr>
        <w:t>comparative advantage</w:t>
      </w:r>
      <w:r>
        <w:rPr>
          <w:i/>
          <w:color w:val="191919" w:themeColor="background1" w:themeShade="1A"/>
          <w:sz w:val="28"/>
          <w:szCs w:val="28"/>
          <w:lang w:val="en-US"/>
        </w:rPr>
        <w:t>.</w:t>
      </w:r>
    </w:p>
    <w:p>
      <w:pPr>
        <w:pStyle w:val="4"/>
        <w:ind w:firstLine="567"/>
        <w:jc w:val="both"/>
        <w:rPr>
          <w:color w:val="191919" w:themeColor="background1" w:themeShade="1A"/>
          <w:sz w:val="28"/>
          <w:szCs w:val="28"/>
          <w:lang w:val="en-US"/>
        </w:rPr>
      </w:pPr>
      <w:r>
        <w:rPr>
          <w:color w:val="191919" w:themeColor="background1" w:themeShade="1A"/>
          <w:sz w:val="28"/>
          <w:szCs w:val="28"/>
          <w:lang w:val="en-US"/>
        </w:rPr>
        <w:t>Comparative Advantage and Opportunity Cost</w:t>
      </w:r>
    </w:p>
    <w:p>
      <w:pPr>
        <w:pStyle w:val="10"/>
        <w:spacing w:before="0" w:beforeAutospacing="0" w:after="0" w:afterAutospacing="0"/>
        <w:ind w:firstLine="567"/>
        <w:jc w:val="both"/>
        <w:rPr>
          <w:color w:val="191919" w:themeColor="background1" w:themeShade="1A"/>
          <w:sz w:val="28"/>
          <w:szCs w:val="28"/>
          <w:lang w:val="en-US"/>
        </w:rPr>
      </w:pPr>
      <w:r>
        <w:rPr>
          <w:rStyle w:val="14"/>
          <w:b w:val="0"/>
          <w:color w:val="191919" w:themeColor="background1" w:themeShade="1A"/>
          <w:sz w:val="28"/>
          <w:szCs w:val="28"/>
          <w:lang w:val="en-US"/>
        </w:rPr>
        <w:t>Opportunity Cost </w:t>
      </w:r>
      <w:r>
        <w:rPr>
          <w:color w:val="191919" w:themeColor="background1" w:themeShade="1A"/>
          <w:sz w:val="28"/>
          <w:szCs w:val="28"/>
          <w:lang w:val="en-US"/>
        </w:rPr>
        <w:t>is the cost of not being able to produce something else with the resources (i.e. human capital, time) used.</w:t>
      </w:r>
    </w:p>
    <w:p>
      <w:pPr>
        <w:pStyle w:val="10"/>
        <w:spacing w:before="0" w:beforeAutospacing="0" w:after="0" w:afterAutospacing="0"/>
        <w:ind w:firstLine="567"/>
        <w:jc w:val="both"/>
        <w:rPr>
          <w:color w:val="191919" w:themeColor="background1" w:themeShade="1A"/>
          <w:sz w:val="28"/>
          <w:szCs w:val="28"/>
          <w:lang w:val="en-US"/>
        </w:rPr>
      </w:pPr>
      <w:r>
        <w:rPr>
          <w:rStyle w:val="14"/>
          <w:b w:val="0"/>
          <w:color w:val="191919" w:themeColor="background1" w:themeShade="1A"/>
          <w:sz w:val="28"/>
          <w:szCs w:val="28"/>
          <w:lang w:val="en-US"/>
        </w:rPr>
        <w:t>Comparative Advantage </w:t>
      </w:r>
      <w:r>
        <w:rPr>
          <w:color w:val="191919" w:themeColor="background1" w:themeShade="1A"/>
          <w:sz w:val="28"/>
          <w:szCs w:val="28"/>
          <w:lang w:val="en-US"/>
        </w:rPr>
        <w:t>is the advantage of an entity in producing a good or service over the rest measured based on the </w:t>
      </w:r>
      <w:r>
        <w:rPr>
          <w:rStyle w:val="12"/>
          <w:i w:val="0"/>
          <w:color w:val="191919" w:themeColor="background1" w:themeShade="1A"/>
          <w:sz w:val="28"/>
          <w:szCs w:val="28"/>
          <w:lang w:val="en-US"/>
        </w:rPr>
        <w:t>opportunity</w:t>
      </w:r>
      <w:r>
        <w:rPr>
          <w:i/>
          <w:color w:val="191919" w:themeColor="background1" w:themeShade="1A"/>
          <w:sz w:val="28"/>
          <w:szCs w:val="28"/>
          <w:lang w:val="en-US"/>
        </w:rPr>
        <w:t> </w:t>
      </w:r>
      <w:r>
        <w:rPr>
          <w:rStyle w:val="12"/>
          <w:i w:val="0"/>
          <w:color w:val="191919" w:themeColor="background1" w:themeShade="1A"/>
          <w:sz w:val="28"/>
          <w:szCs w:val="28"/>
          <w:lang w:val="en-US"/>
        </w:rPr>
        <w:t>cost</w:t>
      </w:r>
      <w:r>
        <w:rPr>
          <w:color w:val="191919" w:themeColor="background1" w:themeShade="1A"/>
          <w:sz w:val="28"/>
          <w:szCs w:val="28"/>
          <w:lang w:val="en-US"/>
        </w:rPr>
        <w:t>.</w:t>
      </w:r>
    </w:p>
    <w:p>
      <w:pPr>
        <w:pStyle w:val="10"/>
        <w:spacing w:before="0" w:beforeAutospacing="0" w:after="0" w:afterAutospacing="0"/>
        <w:ind w:firstLine="567"/>
        <w:jc w:val="both"/>
        <w:rPr>
          <w:color w:val="191919" w:themeColor="background1" w:themeShade="1A"/>
          <w:sz w:val="28"/>
          <w:szCs w:val="28"/>
          <w:lang w:val="en-US"/>
        </w:rPr>
      </w:pPr>
      <w:r>
        <w:rPr>
          <w:rStyle w:val="14"/>
          <w:b w:val="0"/>
          <w:color w:val="191919" w:themeColor="background1" w:themeShade="1A"/>
          <w:sz w:val="28"/>
          <w:szCs w:val="28"/>
          <w:lang w:val="en-US"/>
        </w:rPr>
        <w:t>Absolute Advantage </w:t>
      </w:r>
      <w:r>
        <w:rPr>
          <w:color w:val="191919" w:themeColor="background1" w:themeShade="1A"/>
          <w:sz w:val="28"/>
          <w:szCs w:val="28"/>
          <w:lang w:val="en-US"/>
        </w:rPr>
        <w:t>is the advantage of an entity in producing a good or service over the rest measured based on the </w:t>
      </w:r>
      <w:r>
        <w:rPr>
          <w:rStyle w:val="12"/>
          <w:color w:val="191919" w:themeColor="background1" w:themeShade="1A"/>
          <w:sz w:val="28"/>
          <w:szCs w:val="28"/>
          <w:lang w:val="en-US"/>
        </w:rPr>
        <w:t>cost</w:t>
      </w:r>
      <w:r>
        <w:rPr>
          <w:color w:val="191919" w:themeColor="background1" w:themeShade="1A"/>
          <w:sz w:val="28"/>
          <w:szCs w:val="28"/>
          <w:lang w:val="en-US"/>
        </w:rPr>
        <w:t>. (Generally more efficient in every production compared to any other parties).</w:t>
      </w:r>
    </w:p>
    <w:p>
      <w:pPr>
        <w:pStyle w:val="10"/>
        <w:spacing w:before="0" w:beforeAutospacing="0" w:after="0" w:afterAutospacing="0"/>
        <w:ind w:firstLine="567"/>
        <w:jc w:val="both"/>
        <w:rPr>
          <w:color w:val="191919" w:themeColor="background1" w:themeShade="1A"/>
          <w:sz w:val="28"/>
          <w:szCs w:val="28"/>
          <w:lang w:val="en-US"/>
        </w:rPr>
      </w:pPr>
      <w:r>
        <w:rPr>
          <w:rStyle w:val="14"/>
          <w:b w:val="0"/>
          <w:iCs/>
          <w:color w:val="191919" w:themeColor="background1" w:themeShade="1A"/>
          <w:sz w:val="28"/>
          <w:szCs w:val="28"/>
          <w:lang w:val="en-US"/>
        </w:rPr>
        <w:t>Example:</w:t>
      </w:r>
      <w:r>
        <w:rPr>
          <w:color w:val="191919" w:themeColor="background1" w:themeShade="1A"/>
          <w:sz w:val="28"/>
          <w:szCs w:val="28"/>
          <w:lang w:val="en-US"/>
        </w:rPr>
        <w:t> Suppose that the U.S. could produce 10 million roses with the same resources that could produce 100,000 computers. While Colombia could produce 10 million roses with the same resources that could produce 30,000 computers.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this example, the U.S. has opportunity cost of 0,01 unit of computer when producing one unit of rose, and 100 unit of roses when producing one unit of computer. Meanwhile Colombia has opportunity cost of 0,003 unit of computer when producing one unit of rose, and 333,33 unit of roses when producing one unit of computer.</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other words, the U.S. has lower opportunity cost of producing computers and Colombia has lower opportunity cost of producing roses. In this regard, both countries have their own </w:t>
      </w:r>
      <w:r>
        <w:rPr>
          <w:rStyle w:val="12"/>
          <w:i w:val="0"/>
          <w:color w:val="191919" w:themeColor="background1" w:themeShade="1A"/>
          <w:sz w:val="28"/>
          <w:szCs w:val="28"/>
          <w:lang w:val="en-US"/>
        </w:rPr>
        <w:t>comparative advantage</w:t>
      </w:r>
      <w:r>
        <w:rPr>
          <w:rStyle w:val="12"/>
          <w:color w:val="191919" w:themeColor="background1" w:themeShade="1A"/>
          <w:sz w:val="28"/>
          <w:szCs w:val="28"/>
          <w:lang w:val="en-US"/>
        </w:rPr>
        <w:t>. </w:t>
      </w:r>
      <w:r>
        <w:rPr>
          <w:color w:val="191919" w:themeColor="background1" w:themeShade="1A"/>
          <w:sz w:val="28"/>
          <w:szCs w:val="28"/>
          <w:lang w:val="en-US"/>
        </w:rPr>
        <w:t>When each parties have their own comparative advantage, they can trade to earn gain from each other.</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By trading, the U.S. and Colombia together could for example produce and consume the same amount of roses, but 70,000 more computers.</w:t>
      </w:r>
    </w:p>
    <w:p>
      <w:pPr>
        <w:pStyle w:val="10"/>
        <w:spacing w:before="0" w:beforeAutospacing="0" w:after="0" w:afterAutospacing="0"/>
        <w:ind w:firstLine="567"/>
        <w:jc w:val="both"/>
        <w:rPr>
          <w:color w:val="191919" w:themeColor="background1" w:themeShade="1A"/>
          <w:sz w:val="28"/>
          <w:szCs w:val="28"/>
          <w:lang w:val="en-US"/>
        </w:rPr>
      </w:pPr>
      <w:r>
        <w:rPr>
          <w:rStyle w:val="14"/>
          <w:b w:val="0"/>
          <w:iCs/>
          <w:color w:val="191919" w:themeColor="background1" w:themeShade="1A"/>
          <w:sz w:val="28"/>
          <w:szCs w:val="28"/>
          <w:lang w:val="en-US"/>
        </w:rPr>
        <w:t>Intuition:</w:t>
      </w:r>
      <w:r>
        <w:rPr>
          <w:color w:val="191919" w:themeColor="background1" w:themeShade="1A"/>
          <w:sz w:val="28"/>
          <w:szCs w:val="28"/>
          <w:lang w:val="en-US"/>
        </w:rPr>
        <w:t> as long as each party has their own comparative advantage comparative advantage (lower opportunity cost), they can specialise their production and trade with each other to produce more goods and services at aggregate (world) level.</w:t>
      </w:r>
    </w:p>
    <w:p>
      <w:pPr>
        <w:pStyle w:val="4"/>
        <w:ind w:firstLine="567"/>
        <w:jc w:val="both"/>
        <w:rPr>
          <w:color w:val="191919" w:themeColor="background1" w:themeShade="1A"/>
          <w:sz w:val="28"/>
          <w:szCs w:val="28"/>
          <w:lang w:val="en-US"/>
        </w:rPr>
      </w:pPr>
      <w:r>
        <w:rPr>
          <w:color w:val="191919" w:themeColor="background1" w:themeShade="1A"/>
          <w:sz w:val="28"/>
          <w:szCs w:val="28"/>
          <w:lang w:val="en-US"/>
        </w:rPr>
        <w:t> </w:t>
      </w:r>
      <w:r>
        <w:rPr>
          <w:rStyle w:val="14"/>
          <w:b w:val="0"/>
          <w:bCs w:val="0"/>
          <w:color w:val="191919" w:themeColor="background1" w:themeShade="1A"/>
          <w:sz w:val="28"/>
          <w:szCs w:val="28"/>
          <w:lang w:val="en-US"/>
        </w:rPr>
        <w:t>One-Factor Ricardian Model</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w:t>
      </w:r>
      <w:r>
        <w:rPr>
          <w:rStyle w:val="12"/>
          <w:i w:val="0"/>
          <w:color w:val="191919" w:themeColor="background1" w:themeShade="1A"/>
          <w:sz w:val="28"/>
          <w:szCs w:val="28"/>
          <w:lang w:val="en-US"/>
        </w:rPr>
        <w:t>modern</w:t>
      </w:r>
      <w:r>
        <w:rPr>
          <w:rStyle w:val="12"/>
          <w:color w:val="191919" w:themeColor="background1" w:themeShade="1A"/>
          <w:sz w:val="28"/>
          <w:szCs w:val="28"/>
          <w:lang w:val="en-US"/>
        </w:rPr>
        <w:t> </w:t>
      </w:r>
      <w:r>
        <w:rPr>
          <w:color w:val="191919" w:themeColor="background1" w:themeShade="1A"/>
          <w:sz w:val="28"/>
          <w:szCs w:val="28"/>
          <w:lang w:val="en-US"/>
        </w:rPr>
        <w:t>version of Ricardian model assumes that there are two countries producing two goods using one factor of production, usually </w:t>
      </w:r>
      <w:r>
        <w:rPr>
          <w:rStyle w:val="12"/>
          <w:bCs/>
          <w:i w:val="0"/>
          <w:color w:val="191919" w:themeColor="background1" w:themeShade="1A"/>
          <w:sz w:val="28"/>
          <w:szCs w:val="28"/>
          <w:lang w:val="en-US"/>
        </w:rPr>
        <w:t>labour</w:t>
      </w:r>
      <w:r>
        <w:rPr>
          <w:rStyle w:val="12"/>
          <w:b/>
          <w:bCs/>
          <w:color w:val="191919" w:themeColor="background1" w:themeShade="1A"/>
          <w:sz w:val="28"/>
          <w:szCs w:val="28"/>
          <w:lang w:val="en-US"/>
        </w:rPr>
        <w:t>. </w:t>
      </w:r>
      <w:r>
        <w:rPr>
          <w:color w:val="191919" w:themeColor="background1" w:themeShade="1A"/>
          <w:sz w:val="28"/>
          <w:szCs w:val="28"/>
          <w:lang w:val="en-US"/>
        </w:rPr>
        <w:t>This model is a general equilibrium model, where flow of money in exchange for goods and services are in complete circle (supply equate to demand in all markets simultaneously).</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model incorporates the standard assumptions of </w:t>
      </w:r>
      <w:r>
        <w:rPr>
          <w:rStyle w:val="14"/>
          <w:b w:val="0"/>
          <w:iCs/>
          <w:color w:val="191919" w:themeColor="background1" w:themeShade="1A"/>
          <w:sz w:val="28"/>
          <w:szCs w:val="28"/>
          <w:lang w:val="en-US"/>
        </w:rPr>
        <w:t>perfect competition</w:t>
      </w:r>
      <w:r>
        <w:rPr>
          <w:color w:val="191919" w:themeColor="background1" w:themeShade="1A"/>
          <w:sz w:val="28"/>
          <w:szCs w:val="28"/>
          <w:lang w:val="en-US"/>
        </w:rPr>
        <w:t> :</w:t>
      </w:r>
    </w:p>
    <w:p>
      <w:pPr>
        <w:numPr>
          <w:ilvl w:val="0"/>
          <w:numId w:val="19"/>
        </w:numPr>
        <w:spacing w:after="0" w:line="240" w:lineRule="auto"/>
        <w:ind w:left="0" w:firstLine="426"/>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Goods and services produced are homogeneous across countries and firms within an industry;</w:t>
      </w:r>
    </w:p>
    <w:p>
      <w:pPr>
        <w:numPr>
          <w:ilvl w:val="0"/>
          <w:numId w:val="19"/>
        </w:numPr>
        <w:spacing w:after="0" w:line="240" w:lineRule="auto"/>
        <w:ind w:left="0" w:firstLine="426"/>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There are no logistical costs in trading the goods and services;</w:t>
      </w:r>
    </w:p>
    <w:p>
      <w:pPr>
        <w:numPr>
          <w:ilvl w:val="0"/>
          <w:numId w:val="19"/>
        </w:numPr>
        <w:spacing w:after="0" w:line="240" w:lineRule="auto"/>
        <w:ind w:left="0" w:firstLine="426"/>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Labour productivity is homogeneous within the country </w:t>
      </w:r>
      <w:r>
        <w:rPr>
          <w:rStyle w:val="12"/>
          <w:rFonts w:ascii="Times New Roman" w:hAnsi="Times New Roman"/>
          <w:i w:val="0"/>
          <w:color w:val="191919" w:themeColor="background1" w:themeShade="1A"/>
          <w:sz w:val="28"/>
          <w:szCs w:val="28"/>
          <w:lang w:val="en-US"/>
        </w:rPr>
        <w:t>but</w:t>
      </w:r>
      <w:r>
        <w:rPr>
          <w:rStyle w:val="12"/>
          <w:rFonts w:ascii="Times New Roman" w:hAnsi="Times New Roman"/>
          <w:color w:val="191919" w:themeColor="background1" w:themeShade="1A"/>
          <w:sz w:val="28"/>
          <w:szCs w:val="28"/>
          <w:lang w:val="en-US"/>
        </w:rPr>
        <w:t> </w:t>
      </w:r>
      <w:r>
        <w:rPr>
          <w:rFonts w:ascii="Times New Roman" w:hAnsi="Times New Roman"/>
          <w:color w:val="191919" w:themeColor="background1" w:themeShade="1A"/>
          <w:sz w:val="28"/>
          <w:szCs w:val="28"/>
          <w:lang w:val="en-US"/>
        </w:rPr>
        <w:t>may differ across countries (implication: production technology, education systems, working environment may differ);</w:t>
      </w:r>
    </w:p>
    <w:p>
      <w:pPr>
        <w:numPr>
          <w:ilvl w:val="0"/>
          <w:numId w:val="19"/>
        </w:numPr>
        <w:spacing w:after="0" w:line="240" w:lineRule="auto"/>
        <w:ind w:left="0" w:firstLine="426"/>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Labour is free to move </w:t>
      </w:r>
      <w:r>
        <w:rPr>
          <w:rStyle w:val="12"/>
          <w:rFonts w:ascii="Times New Roman" w:hAnsi="Times New Roman"/>
          <w:i w:val="0"/>
          <w:color w:val="191919" w:themeColor="background1" w:themeShade="1A"/>
          <w:sz w:val="28"/>
          <w:szCs w:val="28"/>
          <w:lang w:val="en-US"/>
        </w:rPr>
        <w:t>only</w:t>
      </w:r>
      <w:r>
        <w:rPr>
          <w:rStyle w:val="12"/>
          <w:rFonts w:ascii="Times New Roman" w:hAnsi="Times New Roman"/>
          <w:color w:val="191919" w:themeColor="background1" w:themeShade="1A"/>
          <w:sz w:val="28"/>
          <w:szCs w:val="28"/>
          <w:lang w:val="en-US"/>
        </w:rPr>
        <w:t> </w:t>
      </w:r>
      <w:r>
        <w:rPr>
          <w:rFonts w:ascii="Times New Roman" w:hAnsi="Times New Roman"/>
          <w:color w:val="191919" w:themeColor="background1" w:themeShade="1A"/>
          <w:sz w:val="28"/>
          <w:szCs w:val="28"/>
          <w:lang w:val="en-US"/>
        </w:rPr>
        <w:t>across industries </w:t>
      </w:r>
      <w:r>
        <w:rPr>
          <w:rStyle w:val="12"/>
          <w:rFonts w:ascii="Times New Roman" w:hAnsi="Times New Roman"/>
          <w:i w:val="0"/>
          <w:color w:val="191919" w:themeColor="background1" w:themeShade="1A"/>
          <w:sz w:val="28"/>
          <w:szCs w:val="28"/>
          <w:lang w:val="en-US"/>
        </w:rPr>
        <w:t>within</w:t>
      </w:r>
      <w:r>
        <w:rPr>
          <w:rStyle w:val="12"/>
          <w:rFonts w:ascii="Times New Roman" w:hAnsi="Times New Roman"/>
          <w:color w:val="191919" w:themeColor="background1" w:themeShade="1A"/>
          <w:sz w:val="28"/>
          <w:szCs w:val="28"/>
          <w:lang w:val="en-US"/>
        </w:rPr>
        <w:t> </w:t>
      </w:r>
      <w:r>
        <w:rPr>
          <w:rFonts w:ascii="Times New Roman" w:hAnsi="Times New Roman"/>
          <w:color w:val="191919" w:themeColor="background1" w:themeShade="1A"/>
          <w:sz w:val="28"/>
          <w:szCs w:val="28"/>
          <w:lang w:val="en-US"/>
        </w:rPr>
        <w:t>a country without any costs;</w:t>
      </w:r>
    </w:p>
    <w:p>
      <w:pPr>
        <w:numPr>
          <w:ilvl w:val="0"/>
          <w:numId w:val="19"/>
        </w:numPr>
        <w:spacing w:after="0" w:line="240" w:lineRule="auto"/>
        <w:ind w:left="0" w:firstLine="426"/>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Labour market is at its full employment;</w:t>
      </w:r>
    </w:p>
    <w:p>
      <w:pPr>
        <w:numPr>
          <w:ilvl w:val="0"/>
          <w:numId w:val="19"/>
        </w:numPr>
        <w:spacing w:after="0" w:line="240" w:lineRule="auto"/>
        <w:ind w:left="0" w:firstLine="426"/>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Consumers (the labours) are assumed to maximise utility and consumption.</w:t>
      </w:r>
    </w:p>
    <w:p>
      <w:pPr>
        <w:pStyle w:val="10"/>
        <w:spacing w:before="0" w:beforeAutospacing="0" w:after="0" w:afterAutospacing="0"/>
        <w:ind w:firstLine="426"/>
        <w:jc w:val="both"/>
        <w:rPr>
          <w:color w:val="191919" w:themeColor="background1" w:themeShade="1A"/>
          <w:sz w:val="28"/>
          <w:szCs w:val="28"/>
          <w:lang w:val="en-US"/>
        </w:rPr>
      </w:pPr>
      <w:r>
        <w:rPr>
          <w:color w:val="191919" w:themeColor="background1" w:themeShade="1A"/>
          <w:sz w:val="28"/>
          <w:szCs w:val="28"/>
          <w:lang w:val="en-US"/>
        </w:rPr>
        <w:t>To be frank, to simplify the model analysis, we usually use </w:t>
      </w:r>
      <w:r>
        <w:rPr>
          <w:rStyle w:val="14"/>
          <w:color w:val="191919" w:themeColor="background1" w:themeShade="1A"/>
          <w:sz w:val="28"/>
          <w:szCs w:val="28"/>
          <w:lang w:val="en-US"/>
        </w:rPr>
        <w:t>Two Products </w:t>
      </w:r>
      <w:r>
        <w:rPr>
          <w:color w:val="191919" w:themeColor="background1" w:themeShade="1A"/>
          <w:sz w:val="28"/>
          <w:szCs w:val="28"/>
          <w:lang w:val="en-US"/>
        </w:rPr>
        <w:t>produced in </w:t>
      </w:r>
      <w:r>
        <w:rPr>
          <w:rStyle w:val="14"/>
          <w:color w:val="191919" w:themeColor="background1" w:themeShade="1A"/>
          <w:sz w:val="28"/>
          <w:szCs w:val="28"/>
          <w:lang w:val="en-US"/>
        </w:rPr>
        <w:t>Two Countries </w:t>
      </w:r>
      <w:r>
        <w:rPr>
          <w:color w:val="191919" w:themeColor="background1" w:themeShade="1A"/>
          <w:sz w:val="28"/>
          <w:szCs w:val="28"/>
          <w:lang w:val="en-US"/>
        </w:rPr>
        <w:t>using </w:t>
      </w:r>
      <w:r>
        <w:rPr>
          <w:rStyle w:val="14"/>
          <w:color w:val="191919" w:themeColor="background1" w:themeShade="1A"/>
          <w:sz w:val="28"/>
          <w:szCs w:val="28"/>
          <w:lang w:val="en-US"/>
        </w:rPr>
        <w:t>One Factor of Production (</w:t>
      </w:r>
      <w:r>
        <w:rPr>
          <w:rStyle w:val="12"/>
          <w:b/>
          <w:bCs/>
          <w:color w:val="191919" w:themeColor="background1" w:themeShade="1A"/>
          <w:sz w:val="28"/>
          <w:szCs w:val="28"/>
          <w:lang w:val="en-US"/>
        </w:rPr>
        <w:t>labour</w:t>
      </w:r>
      <w:r>
        <w:rPr>
          <w:rStyle w:val="14"/>
          <w:color w:val="191919" w:themeColor="background1" w:themeShade="1A"/>
          <w:sz w:val="28"/>
          <w:szCs w:val="28"/>
          <w:lang w:val="en-US"/>
        </w:rPr>
        <w:t>)</w:t>
      </w:r>
      <w:r>
        <w:rPr>
          <w:color w:val="191919" w:themeColor="background1" w:themeShade="1A"/>
          <w:sz w:val="28"/>
          <w:szCs w:val="28"/>
          <w:lang w:val="en-US"/>
        </w:rPr>
        <w:t>; each countries has </w:t>
      </w:r>
      <w:r>
        <w:rPr>
          <w:rStyle w:val="14"/>
          <w:color w:val="191919" w:themeColor="background1" w:themeShade="1A"/>
          <w:sz w:val="28"/>
          <w:szCs w:val="28"/>
          <w:lang w:val="en-US"/>
        </w:rPr>
        <w:t>Maximum Utilisation and Demand </w:t>
      </w:r>
      <w:r>
        <w:rPr>
          <w:color w:val="191919" w:themeColor="background1" w:themeShade="1A"/>
          <w:sz w:val="28"/>
          <w:szCs w:val="28"/>
          <w:lang w:val="en-US"/>
        </w:rPr>
        <w:t>where both products are consumed in the same fixed proportion at given prices regardless of income.</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explanatory variable in this model is </w:t>
      </w:r>
      <w:r>
        <w:rPr>
          <w:rStyle w:val="14"/>
          <w:color w:val="191919" w:themeColor="background1" w:themeShade="1A"/>
          <w:sz w:val="28"/>
          <w:szCs w:val="28"/>
          <w:lang w:val="en-US"/>
        </w:rPr>
        <w:t>Labour Productivity</w:t>
      </w:r>
      <w:r>
        <w:rPr>
          <w:rStyle w:val="12"/>
          <w:b/>
          <w:bCs/>
          <w:color w:val="191919" w:themeColor="background1" w:themeShade="1A"/>
          <w:sz w:val="28"/>
          <w:szCs w:val="28"/>
          <w:lang w:val="en-US"/>
        </w:rPr>
        <w:t> </w:t>
      </w:r>
      <w:r>
        <w:rPr>
          <w:color w:val="191919" w:themeColor="background1" w:themeShade="1A"/>
          <w:sz w:val="28"/>
          <w:szCs w:val="28"/>
          <w:lang w:val="en-US"/>
        </w:rPr>
        <w:t>: the quantity of goods and services produced by a worker during a unit of time (i.e. an hour). To indicate how productive workers in each country are, we can specify how much labour is required to produce a unit of </w:t>
      </w:r>
      <w:r>
        <w:rPr>
          <w:rStyle w:val="12"/>
          <w:color w:val="191919" w:themeColor="background1" w:themeShade="1A"/>
          <w:sz w:val="28"/>
          <w:szCs w:val="28"/>
          <w:lang w:val="en-US"/>
        </w:rPr>
        <w:t>final </w:t>
      </w:r>
      <w:r>
        <w:rPr>
          <w:color w:val="191919" w:themeColor="background1" w:themeShade="1A"/>
          <w:sz w:val="28"/>
          <w:szCs w:val="28"/>
          <w:lang w:val="en-US"/>
        </w:rPr>
        <w:t>good.</w:t>
      </w:r>
    </w:p>
    <w:p>
      <w:pPr>
        <w:pStyle w:val="10"/>
        <w:spacing w:before="0" w:beforeAutospacing="0" w:after="0" w:afterAutospacing="0"/>
        <w:ind w:firstLine="567"/>
        <w:jc w:val="both"/>
        <w:rPr>
          <w:color w:val="191919" w:themeColor="background1" w:themeShade="1A"/>
          <w:sz w:val="28"/>
          <w:szCs w:val="28"/>
          <w:lang w:val="en-US"/>
        </w:rPr>
      </w:pPr>
      <w:r>
        <w:rPr>
          <w:rStyle w:val="14"/>
          <w:color w:val="191919" w:themeColor="background1" w:themeShade="1A"/>
          <w:sz w:val="28"/>
          <w:szCs w:val="28"/>
          <w:lang w:val="en-US"/>
        </w:rPr>
        <w:t>Unit Labour Requirement</w:t>
      </w:r>
      <w:r>
        <w:rPr>
          <w:rStyle w:val="12"/>
          <w:b/>
          <w:bCs/>
          <w:color w:val="191919" w:themeColor="background1" w:themeShade="1A"/>
          <w:sz w:val="28"/>
          <w:szCs w:val="28"/>
          <w:lang w:val="en-US"/>
        </w:rPr>
        <w:t> </w:t>
      </w:r>
      <w:r>
        <w:rPr>
          <w:color w:val="191919" w:themeColor="background1" w:themeShade="1A"/>
          <w:sz w:val="28"/>
          <w:szCs w:val="28"/>
          <w:lang w:val="en-US"/>
        </w:rPr>
        <w:t>indicates the number of hours of labor required to produce one unit of output. A </w:t>
      </w:r>
      <w:r>
        <w:rPr>
          <w:rStyle w:val="12"/>
          <w:color w:val="191919" w:themeColor="background1" w:themeShade="1A"/>
          <w:sz w:val="28"/>
          <w:szCs w:val="28"/>
          <w:lang w:val="en-US"/>
        </w:rPr>
        <w:t>high</w:t>
      </w:r>
      <w:r>
        <w:rPr>
          <w:color w:val="191919" w:themeColor="background1" w:themeShade="1A"/>
          <w:sz w:val="28"/>
          <w:szCs w:val="28"/>
          <w:lang w:val="en-US"/>
        </w:rPr>
        <w:t> unit labour requirement means </w:t>
      </w:r>
      <w:r>
        <w:rPr>
          <w:rStyle w:val="12"/>
          <w:color w:val="191919" w:themeColor="background1" w:themeShade="1A"/>
          <w:sz w:val="28"/>
          <w:szCs w:val="28"/>
          <w:lang w:val="en-US"/>
        </w:rPr>
        <w:t>low</w:t>
      </w:r>
      <w:r>
        <w:rPr>
          <w:color w:val="191919" w:themeColor="background1" w:themeShade="1A"/>
          <w:sz w:val="28"/>
          <w:szCs w:val="28"/>
          <w:lang w:val="en-US"/>
        </w:rPr>
        <w:t> labor productivity.</w:t>
      </w:r>
    </w:p>
    <w:p>
      <w:pPr>
        <w:pStyle w:val="4"/>
        <w:ind w:firstLine="567"/>
        <w:jc w:val="both"/>
        <w:rPr>
          <w:color w:val="191919" w:themeColor="background1" w:themeShade="1A"/>
          <w:sz w:val="28"/>
          <w:szCs w:val="28"/>
          <w:lang w:val="en-US"/>
        </w:rPr>
      </w:pPr>
      <w:r>
        <w:rPr>
          <w:rStyle w:val="14"/>
          <w:b w:val="0"/>
          <w:bCs w:val="0"/>
          <w:color w:val="191919" w:themeColor="background1" w:themeShade="1A"/>
          <w:sz w:val="28"/>
          <w:szCs w:val="28"/>
          <w:lang w:val="en-US"/>
        </w:rPr>
        <w:t>Production Possibilities Frontier (PPF)</w:t>
      </w:r>
    </w:p>
    <w:p>
      <w:pPr>
        <w:pStyle w:val="10"/>
        <w:spacing w:before="0" w:beforeAutospacing="0" w:after="0" w:afterAutospacing="0"/>
        <w:ind w:firstLine="567"/>
        <w:jc w:val="both"/>
        <w:rPr>
          <w:color w:val="191919" w:themeColor="background1" w:themeShade="1A"/>
          <w:sz w:val="28"/>
          <w:szCs w:val="28"/>
          <w:lang w:val="en-US"/>
        </w:rPr>
      </w:pPr>
      <w:r>
        <w:rPr>
          <w:rStyle w:val="14"/>
          <w:color w:val="191919" w:themeColor="background1" w:themeShade="1A"/>
          <w:sz w:val="28"/>
          <w:szCs w:val="28"/>
          <w:lang w:val="en-US"/>
        </w:rPr>
        <w:t>Production Possibility Frontier (PPF)</w:t>
      </w:r>
      <w:r>
        <w:rPr>
          <w:rStyle w:val="12"/>
          <w:b/>
          <w:bCs/>
          <w:color w:val="191919" w:themeColor="background1" w:themeShade="1A"/>
          <w:sz w:val="28"/>
          <w:szCs w:val="28"/>
          <w:lang w:val="en-US"/>
        </w:rPr>
        <w:t> </w:t>
      </w:r>
      <w:r>
        <w:rPr>
          <w:color w:val="191919" w:themeColor="background1" w:themeShade="1A"/>
          <w:sz w:val="28"/>
          <w:szCs w:val="28"/>
          <w:lang w:val="en-US"/>
        </w:rPr>
        <w:t>shows the maximum amount of goods that can be produced for a fixed amount of resources.</w:t>
      </w:r>
    </w:p>
    <w:p>
      <w:pPr>
        <w:pStyle w:val="10"/>
        <w:spacing w:before="0" w:beforeAutospacing="0" w:after="0" w:afterAutospacing="0"/>
        <w:ind w:firstLine="567"/>
        <w:jc w:val="both"/>
        <w:rPr>
          <w:color w:val="191919" w:themeColor="background1" w:themeShade="1A"/>
          <w:sz w:val="28"/>
          <w:szCs w:val="28"/>
          <w:lang w:val="en-US"/>
        </w:rPr>
      </w:pPr>
      <w:r>
        <w:rPr>
          <w:rStyle w:val="12"/>
          <w:b/>
          <w:bCs/>
          <w:color w:val="191919" w:themeColor="background1" w:themeShade="1A"/>
          <w:sz w:val="28"/>
          <w:szCs w:val="28"/>
          <w:lang w:val="en-US"/>
        </w:rPr>
        <w:t>Example: </w:t>
      </w:r>
      <w:r>
        <w:rPr>
          <w:color w:val="191919" w:themeColor="background1" w:themeShade="1A"/>
          <w:sz w:val="28"/>
          <w:szCs w:val="28"/>
          <w:lang w:val="en-US"/>
        </w:rPr>
        <w:t>Assume </w:t>
      </w:r>
      <w:r>
        <w:rPr>
          <w:rStyle w:val="12"/>
          <w:color w:val="191919" w:themeColor="background1" w:themeShade="1A"/>
          <w:sz w:val="28"/>
          <w:szCs w:val="28"/>
          <w:lang w:val="en-US"/>
        </w:rPr>
        <w:t>Home </w:t>
      </w:r>
      <w:r>
        <w:rPr>
          <w:color w:val="191919" w:themeColor="background1" w:themeShade="1A"/>
          <w:sz w:val="28"/>
          <w:szCs w:val="28"/>
          <w:lang w:val="en-US"/>
        </w:rPr>
        <w:t>country produces only cheese and </w:t>
      </w:r>
      <w:r>
        <w:rPr>
          <w:rStyle w:val="12"/>
          <w:color w:val="191919" w:themeColor="background1" w:themeShade="1A"/>
          <w:sz w:val="28"/>
          <w:szCs w:val="28"/>
          <w:lang w:val="en-US"/>
        </w:rPr>
        <w:t>Foreign </w:t>
      </w:r>
      <w:r>
        <w:rPr>
          <w:color w:val="191919" w:themeColor="background1" w:themeShade="1A"/>
          <w:sz w:val="28"/>
          <w:szCs w:val="28"/>
          <w:lang w:val="en-US"/>
        </w:rPr>
        <w:t>country produces only wine.</w:t>
      </w:r>
    </w:p>
    <w:p>
      <w:pPr>
        <w:pStyle w:val="10"/>
        <w:spacing w:before="0" w:beforeAutospacing="0" w:after="0" w:afterAutospacing="0"/>
        <w:rPr>
          <w:color w:val="191919" w:themeColor="background1" w:themeShade="1A"/>
          <w:sz w:val="28"/>
          <w:szCs w:val="28"/>
          <w:lang w:val="en-US"/>
        </w:rPr>
      </w:pPr>
      <w:r>
        <w:rPr>
          <w:rStyle w:val="12"/>
          <w:color w:val="191919" w:themeColor="background1" w:themeShade="1A"/>
          <w:sz w:val="28"/>
          <w:szCs w:val="28"/>
          <w:lang w:val="en-US"/>
        </w:rPr>
        <w:t>a</w:t>
      </w:r>
      <w:r>
        <w:rPr>
          <w:rStyle w:val="12"/>
          <w:color w:val="191919" w:themeColor="background1" w:themeShade="1A"/>
          <w:sz w:val="28"/>
          <w:szCs w:val="28"/>
          <w:vertAlign w:val="subscript"/>
          <w:lang w:val="en-US"/>
        </w:rPr>
        <w:t>LC</w:t>
      </w:r>
      <w:r>
        <w:rPr>
          <w:rStyle w:val="12"/>
          <w:color w:val="191919" w:themeColor="background1" w:themeShade="1A"/>
          <w:sz w:val="28"/>
          <w:szCs w:val="28"/>
          <w:lang w:val="en-US"/>
        </w:rPr>
        <w:t> </w:t>
      </w:r>
      <w:r>
        <w:rPr>
          <w:color w:val="191919" w:themeColor="background1" w:themeShade="1A"/>
          <w:sz w:val="28"/>
          <w:szCs w:val="28"/>
          <w:lang w:val="en-US"/>
        </w:rPr>
        <w:t>: Labour required per unit of cheese</w:t>
      </w:r>
      <w:r>
        <w:rPr>
          <w:color w:val="191919" w:themeColor="background1" w:themeShade="1A"/>
          <w:sz w:val="28"/>
          <w:szCs w:val="28"/>
          <w:lang w:val="en-US"/>
        </w:rPr>
        <w:br w:type="textWrapping"/>
      </w:r>
      <w:r>
        <w:rPr>
          <w:rStyle w:val="12"/>
          <w:color w:val="191919" w:themeColor="background1" w:themeShade="1A"/>
          <w:sz w:val="28"/>
          <w:szCs w:val="28"/>
          <w:lang w:val="en-US"/>
        </w:rPr>
        <w:t>Q</w:t>
      </w:r>
      <w:r>
        <w:rPr>
          <w:rStyle w:val="12"/>
          <w:color w:val="191919" w:themeColor="background1" w:themeShade="1A"/>
          <w:sz w:val="28"/>
          <w:szCs w:val="28"/>
          <w:vertAlign w:val="subscript"/>
          <w:lang w:val="en-US"/>
        </w:rPr>
        <w:t>C</w:t>
      </w:r>
      <w:r>
        <w:rPr>
          <w:rStyle w:val="12"/>
          <w:color w:val="191919" w:themeColor="background1" w:themeShade="1A"/>
          <w:sz w:val="28"/>
          <w:szCs w:val="28"/>
          <w:lang w:val="en-US"/>
        </w:rPr>
        <w:t> </w:t>
      </w:r>
      <w:r>
        <w:rPr>
          <w:color w:val="191919" w:themeColor="background1" w:themeShade="1A"/>
          <w:sz w:val="28"/>
          <w:szCs w:val="28"/>
          <w:lang w:val="en-US"/>
        </w:rPr>
        <w:t>: Units of cheese produced</w:t>
      </w:r>
      <w:r>
        <w:rPr>
          <w:color w:val="191919" w:themeColor="background1" w:themeShade="1A"/>
          <w:sz w:val="28"/>
          <w:szCs w:val="28"/>
          <w:lang w:val="en-US"/>
        </w:rPr>
        <w:br w:type="textWrapping"/>
      </w:r>
      <w:r>
        <w:rPr>
          <w:rStyle w:val="12"/>
          <w:color w:val="191919" w:themeColor="background1" w:themeShade="1A"/>
          <w:sz w:val="28"/>
          <w:szCs w:val="28"/>
          <w:lang w:val="en-US"/>
        </w:rPr>
        <w:t>a</w:t>
      </w:r>
      <w:r>
        <w:rPr>
          <w:rStyle w:val="12"/>
          <w:color w:val="191919" w:themeColor="background1" w:themeShade="1A"/>
          <w:sz w:val="28"/>
          <w:szCs w:val="28"/>
          <w:vertAlign w:val="subscript"/>
          <w:lang w:val="en-US"/>
        </w:rPr>
        <w:t>LW</w:t>
      </w:r>
      <w:r>
        <w:rPr>
          <w:color w:val="191919" w:themeColor="background1" w:themeShade="1A"/>
          <w:sz w:val="28"/>
          <w:szCs w:val="28"/>
          <w:lang w:val="en-US"/>
        </w:rPr>
        <w:t> : Labour required per unit of wine</w:t>
      </w:r>
      <w:r>
        <w:rPr>
          <w:color w:val="191919" w:themeColor="background1" w:themeShade="1A"/>
          <w:sz w:val="28"/>
          <w:szCs w:val="28"/>
          <w:lang w:val="en-US"/>
        </w:rPr>
        <w:br w:type="textWrapping"/>
      </w:r>
      <w:r>
        <w:rPr>
          <w:rStyle w:val="12"/>
          <w:color w:val="191919" w:themeColor="background1" w:themeShade="1A"/>
          <w:sz w:val="28"/>
          <w:szCs w:val="28"/>
          <w:lang w:val="en-US"/>
        </w:rPr>
        <w:t>Q</w:t>
      </w:r>
      <w:r>
        <w:rPr>
          <w:rStyle w:val="12"/>
          <w:color w:val="191919" w:themeColor="background1" w:themeShade="1A"/>
          <w:sz w:val="28"/>
          <w:szCs w:val="28"/>
          <w:vertAlign w:val="subscript"/>
          <w:lang w:val="en-US"/>
        </w:rPr>
        <w:t>W</w:t>
      </w:r>
      <w:r>
        <w:rPr>
          <w:color w:val="191919" w:themeColor="background1" w:themeShade="1A"/>
          <w:sz w:val="28"/>
          <w:szCs w:val="28"/>
          <w:lang w:val="en-US"/>
        </w:rPr>
        <w:t> : Units of wine produced</w:t>
      </w:r>
      <w:r>
        <w:rPr>
          <w:color w:val="191919" w:themeColor="background1" w:themeShade="1A"/>
          <w:sz w:val="28"/>
          <w:szCs w:val="28"/>
          <w:lang w:val="en-US"/>
        </w:rPr>
        <w:br w:type="textWrapping"/>
      </w:r>
      <w:r>
        <w:rPr>
          <w:rStyle w:val="12"/>
          <w:color w:val="191919" w:themeColor="background1" w:themeShade="1A"/>
          <w:sz w:val="28"/>
          <w:szCs w:val="28"/>
          <w:lang w:val="en-US"/>
        </w:rPr>
        <w:t>L</w:t>
      </w:r>
      <w:r>
        <w:rPr>
          <w:color w:val="191919" w:themeColor="background1" w:themeShade="1A"/>
          <w:sz w:val="28"/>
          <w:szCs w:val="28"/>
          <w:lang w:val="en-US"/>
        </w:rPr>
        <w:t> : Available Labour</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To find out the maximum production capabilities, we only need to divide the number of available labour by the number of labour required to produce one final product or service. For example, suppose that: </w:t>
      </w:r>
      <w:r>
        <w:rPr>
          <w:rStyle w:val="12"/>
          <w:b/>
          <w:bCs/>
          <w:color w:val="191919" w:themeColor="background1" w:themeShade="1A"/>
          <w:sz w:val="28"/>
          <w:szCs w:val="28"/>
          <w:lang w:val="en-US"/>
        </w:rPr>
        <w:t>L = 1,000; a</w:t>
      </w:r>
      <w:r>
        <w:rPr>
          <w:rStyle w:val="12"/>
          <w:b/>
          <w:bCs/>
          <w:color w:val="191919" w:themeColor="background1" w:themeShade="1A"/>
          <w:sz w:val="28"/>
          <w:szCs w:val="28"/>
          <w:vertAlign w:val="subscript"/>
          <w:lang w:val="en-US"/>
        </w:rPr>
        <w:t>LC </w:t>
      </w:r>
      <w:r>
        <w:rPr>
          <w:rStyle w:val="12"/>
          <w:b/>
          <w:bCs/>
          <w:color w:val="191919" w:themeColor="background1" w:themeShade="1A"/>
          <w:sz w:val="28"/>
          <w:szCs w:val="28"/>
          <w:lang w:val="en-US"/>
        </w:rPr>
        <w:t>= 1; a</w:t>
      </w:r>
      <w:r>
        <w:rPr>
          <w:rStyle w:val="12"/>
          <w:b/>
          <w:bCs/>
          <w:color w:val="191919" w:themeColor="background1" w:themeShade="1A"/>
          <w:sz w:val="28"/>
          <w:szCs w:val="28"/>
          <w:vertAlign w:val="subscript"/>
          <w:lang w:val="en-US"/>
        </w:rPr>
        <w:t>LW </w:t>
      </w:r>
      <w:r>
        <w:rPr>
          <w:rStyle w:val="12"/>
          <w:b/>
          <w:bCs/>
          <w:color w:val="191919" w:themeColor="background1" w:themeShade="1A"/>
          <w:sz w:val="28"/>
          <w:szCs w:val="28"/>
          <w:lang w:val="en-US"/>
        </w:rPr>
        <w:t>=2</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Production Possibility Frontier would be </w:t>
      </w:r>
      <w:r>
        <w:rPr>
          <w:rStyle w:val="14"/>
          <w:i/>
          <w:iCs/>
          <w:color w:val="191919" w:themeColor="background1" w:themeShade="1A"/>
          <w:sz w:val="28"/>
          <w:szCs w:val="28"/>
          <w:lang w:val="en-US"/>
        </w:rPr>
        <w:t>QC + 2QW = 1,000 </w:t>
      </w:r>
      <w:r>
        <w:rPr>
          <w:color w:val="191919" w:themeColor="background1" w:themeShade="1A"/>
          <w:sz w:val="28"/>
          <w:szCs w:val="28"/>
          <w:lang w:val="en-US"/>
        </w:rPr>
        <w:t>while the maximum cheese and wine that can be produced would be </w:t>
      </w:r>
      <w:r>
        <w:rPr>
          <w:rStyle w:val="12"/>
          <w:b/>
          <w:bCs/>
          <w:color w:val="191919" w:themeColor="background1" w:themeShade="1A"/>
          <w:sz w:val="28"/>
          <w:szCs w:val="28"/>
          <w:lang w:val="en-US"/>
        </w:rPr>
        <w:t>1,000 </w:t>
      </w:r>
      <w:r>
        <w:rPr>
          <w:color w:val="191919" w:themeColor="background1" w:themeShade="1A"/>
          <w:sz w:val="28"/>
          <w:szCs w:val="28"/>
          <w:lang w:val="en-US"/>
        </w:rPr>
        <w:t>and </w:t>
      </w:r>
      <w:r>
        <w:rPr>
          <w:rStyle w:val="12"/>
          <w:b/>
          <w:bCs/>
          <w:color w:val="191919" w:themeColor="background1" w:themeShade="1A"/>
          <w:sz w:val="28"/>
          <w:szCs w:val="28"/>
          <w:lang w:val="en-US"/>
        </w:rPr>
        <w:t>500 </w:t>
      </w:r>
      <w:r>
        <w:rPr>
          <w:color w:val="191919" w:themeColor="background1" w:themeShade="1A"/>
          <w:sz w:val="28"/>
          <w:szCs w:val="28"/>
          <w:lang w:val="en-US"/>
        </w:rPr>
        <w:t>respectively.</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To calculate the </w:t>
      </w:r>
      <w:r>
        <w:rPr>
          <w:rStyle w:val="12"/>
          <w:color w:val="191919" w:themeColor="background1" w:themeShade="1A"/>
          <w:sz w:val="28"/>
          <w:szCs w:val="28"/>
          <w:lang w:val="en-US"/>
        </w:rPr>
        <w:t>opportunity cost </w:t>
      </w:r>
      <w:r>
        <w:rPr>
          <w:color w:val="191919" w:themeColor="background1" w:themeShade="1A"/>
          <w:sz w:val="28"/>
          <w:szCs w:val="28"/>
          <w:lang w:val="en-US"/>
        </w:rPr>
        <w:t>of producing cheese, we just need to divide the unit labour requirement of cheese by wine’s. This will equal to the </w:t>
      </w:r>
      <w:r>
        <w:rPr>
          <w:rStyle w:val="12"/>
          <w:b/>
          <w:bCs/>
          <w:color w:val="191919" w:themeColor="background1" w:themeShade="1A"/>
          <w:sz w:val="28"/>
          <w:szCs w:val="28"/>
          <w:lang w:val="en-US"/>
        </w:rPr>
        <w:t>absolute value </w:t>
      </w:r>
      <w:r>
        <w:rPr>
          <w:color w:val="191919" w:themeColor="background1" w:themeShade="1A"/>
          <w:sz w:val="28"/>
          <w:szCs w:val="28"/>
          <w:lang w:val="en-US"/>
        </w:rPr>
        <w:t>of slope of the PPF:</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the numerical example, if 1 hour of labour is moved from wine to cheese production, that additional hour could have been utilised to produce </w:t>
      </w:r>
      <w:r>
        <w:rPr>
          <w:rStyle w:val="14"/>
          <w:color w:val="191919" w:themeColor="background1" w:themeShade="1A"/>
          <w:sz w:val="28"/>
          <w:szCs w:val="28"/>
          <w:lang w:val="en-US"/>
        </w:rPr>
        <w:t>½ </w:t>
      </w:r>
      <w:r>
        <w:rPr>
          <w:color w:val="191919" w:themeColor="background1" w:themeShade="1A"/>
          <w:sz w:val="28"/>
          <w:szCs w:val="28"/>
          <w:lang w:val="en-US"/>
        </w:rPr>
        <w:t>unit of wine. Hence, the opportunity cost of producing 1 unit of cheese is </w:t>
      </w:r>
      <w:r>
        <w:rPr>
          <w:rStyle w:val="14"/>
          <w:color w:val="191919" w:themeColor="background1" w:themeShade="1A"/>
          <w:sz w:val="28"/>
          <w:szCs w:val="28"/>
          <w:lang w:val="en-US"/>
        </w:rPr>
        <w:t>½ </w:t>
      </w:r>
      <w:r>
        <w:rPr>
          <w:color w:val="191919" w:themeColor="background1" w:themeShade="1A"/>
          <w:sz w:val="28"/>
          <w:szCs w:val="28"/>
          <w:lang w:val="en-US"/>
        </w:rPr>
        <w:t>(</w:t>
      </w:r>
      <w:r>
        <w:rPr>
          <w:rStyle w:val="12"/>
          <w:color w:val="191919" w:themeColor="background1" w:themeShade="1A"/>
          <w:sz w:val="28"/>
          <w:szCs w:val="28"/>
          <w:lang w:val="en-US"/>
        </w:rPr>
        <w:t>slope of the PPF</w:t>
      </w:r>
      <w:r>
        <w:rPr>
          <w:color w:val="191919" w:themeColor="background1" w:themeShade="1A"/>
          <w:sz w:val="28"/>
          <w:szCs w:val="28"/>
          <w:lang w:val="en-US"/>
        </w:rPr>
        <w:t>) of wine.</w:t>
      </w:r>
    </w:p>
    <w:p>
      <w:pPr>
        <w:pStyle w:val="4"/>
        <w:ind w:firstLine="567"/>
        <w:jc w:val="both"/>
        <w:rPr>
          <w:color w:val="191919" w:themeColor="background1" w:themeShade="1A"/>
          <w:sz w:val="28"/>
          <w:szCs w:val="28"/>
          <w:lang w:val="en-US"/>
        </w:rPr>
      </w:pPr>
      <w:r>
        <w:rPr>
          <w:rStyle w:val="14"/>
          <w:b w:val="0"/>
          <w:bCs w:val="0"/>
          <w:color w:val="191919" w:themeColor="background1" w:themeShade="1A"/>
          <w:sz w:val="28"/>
          <w:szCs w:val="28"/>
          <w:lang w:val="en-US"/>
        </w:rPr>
        <w:t>Relative Prices, Wages, and Supply</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Relative price (or wage or supply) is a price of a good or service (or job) measured relative to the price (or wage or supply) of another good or services (or job). </w:t>
      </w:r>
      <w:r>
        <w:rPr>
          <w:rStyle w:val="12"/>
          <w:color w:val="191919" w:themeColor="background1" w:themeShade="1A"/>
          <w:sz w:val="28"/>
          <w:szCs w:val="28"/>
          <w:lang w:val="en-US"/>
        </w:rPr>
        <w:t>In short</w:t>
      </w:r>
      <w:r>
        <w:rPr>
          <w:color w:val="191919" w:themeColor="background1" w:themeShade="1A"/>
          <w:sz w:val="28"/>
          <w:szCs w:val="28"/>
          <w:lang w:val="en-US"/>
        </w:rPr>
        <w:t>, it is an </w:t>
      </w:r>
      <w:r>
        <w:rPr>
          <w:rStyle w:val="12"/>
          <w:color w:val="191919" w:themeColor="background1" w:themeShade="1A"/>
          <w:sz w:val="28"/>
          <w:szCs w:val="28"/>
          <w:lang w:val="en-US"/>
        </w:rPr>
        <w:t>opportunity cost</w:t>
      </w:r>
      <w:r>
        <w:rPr>
          <w:color w:val="191919" w:themeColor="background1" w:themeShade="1A"/>
          <w:sz w:val="28"/>
          <w:szCs w:val="28"/>
          <w:lang w:val="en-US"/>
        </w:rPr>
        <w:t> of choosing an alternative over the other.</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Owing to the assumption that workers can move freely across industries, workers will choose to work in the industry that pays the highest wage.</w:t>
      </w:r>
    </w:p>
    <w:p>
      <w:pPr>
        <w:pStyle w:val="10"/>
        <w:spacing w:before="0" w:beforeAutospacing="0" w:after="0" w:afterAutospacing="0"/>
        <w:ind w:firstLine="567"/>
        <w:jc w:val="both"/>
        <w:rPr>
          <w:color w:val="191919" w:themeColor="background1" w:themeShade="1A"/>
          <w:sz w:val="28"/>
          <w:szCs w:val="28"/>
          <w:lang w:val="en-US"/>
        </w:rPr>
      </w:pPr>
      <w:r>
        <w:rPr>
          <w:rStyle w:val="12"/>
          <w:b/>
          <w:bCs/>
          <w:color w:val="191919" w:themeColor="background1" w:themeShade="1A"/>
          <w:sz w:val="28"/>
          <w:szCs w:val="28"/>
          <w:lang w:val="en-US"/>
        </w:rPr>
        <w:t>Example: </w:t>
      </w:r>
      <w:r>
        <w:rPr>
          <w:color w:val="191919" w:themeColor="background1" w:themeShade="1A"/>
          <w:sz w:val="28"/>
          <w:szCs w:val="28"/>
          <w:lang w:val="en-US"/>
        </w:rPr>
        <w:t>Assume </w:t>
      </w:r>
      <w:r>
        <w:rPr>
          <w:rStyle w:val="12"/>
          <w:color w:val="191919" w:themeColor="background1" w:themeShade="1A"/>
          <w:sz w:val="28"/>
          <w:szCs w:val="28"/>
          <w:lang w:val="en-US"/>
        </w:rPr>
        <w:t>PC </w:t>
      </w:r>
      <w:r>
        <w:rPr>
          <w:color w:val="191919" w:themeColor="background1" w:themeShade="1A"/>
          <w:sz w:val="28"/>
          <w:szCs w:val="28"/>
          <w:lang w:val="en-US"/>
        </w:rPr>
        <w:t>is the price of cheese and </w:t>
      </w:r>
      <w:r>
        <w:rPr>
          <w:rStyle w:val="12"/>
          <w:color w:val="191919" w:themeColor="background1" w:themeShade="1A"/>
          <w:sz w:val="28"/>
          <w:szCs w:val="28"/>
          <w:lang w:val="en-US"/>
        </w:rPr>
        <w:t>PW </w:t>
      </w:r>
      <w:r>
        <w:rPr>
          <w:color w:val="191919" w:themeColor="background1" w:themeShade="1A"/>
          <w:sz w:val="28"/>
          <w:szCs w:val="28"/>
          <w:lang w:val="en-US"/>
        </w:rPr>
        <w:t>is the price of wine. The hourly wage of cheese/ wine workers equals to the value of cheese or wine produced in an hour (</w:t>
      </w:r>
      <w:r>
        <w:rPr>
          <w:rStyle w:val="12"/>
          <w:color w:val="191919" w:themeColor="background1" w:themeShade="1A"/>
          <w:sz w:val="28"/>
          <w:szCs w:val="28"/>
          <w:lang w:val="en-US"/>
        </w:rPr>
        <w:t>PC/aLW</w:t>
      </w:r>
      <w:r>
        <w:rPr>
          <w:color w:val="191919" w:themeColor="background1" w:themeShade="1A"/>
          <w:sz w:val="28"/>
          <w:szCs w:val="28"/>
          <w:lang w:val="en-US"/>
        </w:rPr>
        <w:t>).</w:t>
      </w:r>
    </w:p>
    <w:p>
      <w:pPr>
        <w:pStyle w:val="10"/>
        <w:spacing w:before="0" w:beforeAutospacing="0" w:after="0" w:afterAutospacing="0"/>
        <w:ind w:firstLine="567"/>
        <w:jc w:val="both"/>
        <w:rPr>
          <w:color w:val="191919" w:themeColor="background1" w:themeShade="1A"/>
          <w:sz w:val="28"/>
          <w:szCs w:val="28"/>
          <w:lang w:val="en-US"/>
        </w:rPr>
      </w:pPr>
      <w:r>
        <w:rPr>
          <w:rStyle w:val="12"/>
          <w:color w:val="191919" w:themeColor="background1" w:themeShade="1A"/>
          <w:sz w:val="28"/>
          <w:szCs w:val="28"/>
          <w:lang w:val="en-US"/>
        </w:rPr>
        <w:t>In absence of trade</w:t>
      </w:r>
      <w:r>
        <w:rPr>
          <w:color w:val="191919" w:themeColor="background1" w:themeShade="1A"/>
          <w:sz w:val="28"/>
          <w:szCs w:val="28"/>
          <w:lang w:val="en-US"/>
        </w:rPr>
        <w:t>, forces of demand and supply determine domestic production or consumption. Therefore, if the consumers want to consume both wine and cheese, prices must adjust so that wages are equal in the 2 sectors so workers will be indifferent to work in either sector</w:t>
      </w:r>
      <w:r>
        <w:rPr>
          <w:color w:val="191919" w:themeColor="background1" w:themeShade="1A"/>
          <w:sz w:val="28"/>
          <w:szCs w:val="28"/>
          <w:u w:val="single"/>
          <w:lang w:val="en-US"/>
        </w:rPr>
        <w:t>:</w:t>
      </w:r>
    </w:p>
    <w:p>
      <w:pPr>
        <w:pStyle w:val="10"/>
        <w:spacing w:before="0" w:beforeAutospacing="0" w:after="0" w:afterAutospacing="0"/>
        <w:ind w:firstLine="567"/>
        <w:jc w:val="both"/>
        <w:rPr>
          <w:color w:val="191919" w:themeColor="background1" w:themeShade="1A"/>
          <w:sz w:val="28"/>
          <w:szCs w:val="28"/>
          <w:lang w:val="en-US"/>
        </w:rPr>
      </w:pPr>
      <w:r>
        <w:rPr>
          <w:rStyle w:val="12"/>
          <w:color w:val="191919" w:themeColor="background1" w:themeShade="1A"/>
          <w:sz w:val="28"/>
          <w:szCs w:val="28"/>
          <w:lang w:val="en-US"/>
        </w:rPr>
        <w:t>In absence of trade</w:t>
      </w:r>
      <w:r>
        <w:rPr>
          <w:color w:val="191919" w:themeColor="background1" w:themeShade="1A"/>
          <w:sz w:val="28"/>
          <w:szCs w:val="28"/>
          <w:lang w:val="en-US"/>
        </w:rPr>
        <w:t>, the relative price of a good will be equal to the opportunity cost of producing that good.</w:t>
      </w:r>
    </w:p>
    <w:p>
      <w:pPr>
        <w:pStyle w:val="4"/>
        <w:ind w:firstLine="567"/>
        <w:jc w:val="both"/>
        <w:rPr>
          <w:color w:val="191919" w:themeColor="background1" w:themeShade="1A"/>
          <w:sz w:val="28"/>
          <w:szCs w:val="28"/>
          <w:lang w:val="en-US"/>
        </w:rPr>
      </w:pPr>
      <w:r>
        <w:rPr>
          <w:rStyle w:val="14"/>
          <w:b w:val="0"/>
          <w:bCs w:val="0"/>
          <w:color w:val="191919" w:themeColor="background1" w:themeShade="1A"/>
          <w:sz w:val="28"/>
          <w:szCs w:val="28"/>
          <w:lang w:val="en-US"/>
        </w:rPr>
        <w:t>Trade In The Ricardian Model</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notations in Foreign country are usually denoted by the asterisk sign (i.e. L*). Since there is only one factor of production in the Ricardian model, a country’s advantage is based on the </w:t>
      </w:r>
      <w:r>
        <w:rPr>
          <w:rStyle w:val="12"/>
          <w:color w:val="191919" w:themeColor="background1" w:themeShade="1A"/>
          <w:sz w:val="28"/>
          <w:szCs w:val="28"/>
          <w:lang w:val="en-US"/>
        </w:rPr>
        <w:t>unit labour requirement </w:t>
      </w:r>
      <w:r>
        <w:rPr>
          <w:color w:val="191919" w:themeColor="background1" w:themeShade="1A"/>
          <w:sz w:val="28"/>
          <w:szCs w:val="28"/>
          <w:lang w:val="en-US"/>
        </w:rPr>
        <w:t>(i.e.</w:t>
      </w:r>
      <w:r>
        <w:rPr>
          <w:rStyle w:val="12"/>
          <w:color w:val="191919" w:themeColor="background1" w:themeShade="1A"/>
          <w:sz w:val="28"/>
          <w:szCs w:val="28"/>
          <w:lang w:val="en-US"/>
        </w:rPr>
        <w:t> a</w:t>
      </w:r>
      <w:r>
        <w:rPr>
          <w:rStyle w:val="12"/>
          <w:color w:val="191919" w:themeColor="background1" w:themeShade="1A"/>
          <w:sz w:val="28"/>
          <w:szCs w:val="28"/>
          <w:vertAlign w:val="subscript"/>
          <w:lang w:val="en-US"/>
        </w:rPr>
        <w:t>LC</w:t>
      </w:r>
      <w:r>
        <w:rPr>
          <w:rStyle w:val="12"/>
          <w:color w:val="191919" w:themeColor="background1" w:themeShade="1A"/>
          <w:sz w:val="28"/>
          <w:szCs w:val="28"/>
          <w:lang w:val="en-US"/>
        </w:rPr>
        <w:t> </w:t>
      </w:r>
      <w:r>
        <w:rPr>
          <w:color w:val="191919" w:themeColor="background1" w:themeShade="1A"/>
          <w:sz w:val="28"/>
          <w:szCs w:val="28"/>
          <w:lang w:val="en-US"/>
        </w:rPr>
        <w:t>or </w:t>
      </w:r>
      <w:r>
        <w:rPr>
          <w:rStyle w:val="12"/>
          <w:color w:val="191919" w:themeColor="background1" w:themeShade="1A"/>
          <w:sz w:val="28"/>
          <w:szCs w:val="28"/>
          <w:lang w:val="en-US"/>
        </w:rPr>
        <w:t>a</w:t>
      </w:r>
      <w:r>
        <w:rPr>
          <w:rStyle w:val="12"/>
          <w:color w:val="191919" w:themeColor="background1" w:themeShade="1A"/>
          <w:sz w:val="28"/>
          <w:szCs w:val="28"/>
          <w:vertAlign w:val="subscript"/>
          <w:lang w:val="en-US"/>
        </w:rPr>
        <w:t>LW</w:t>
      </w:r>
      <w:r>
        <w:rPr>
          <w:color w:val="191919" w:themeColor="background1" w:themeShade="1A"/>
          <w:sz w:val="28"/>
          <w:szCs w:val="28"/>
          <w:lang w:val="en-US"/>
        </w:rPr>
        <w:t>) of producing a product or service. In real life, it is almost impossible for a country to have ALL comparative advantage.</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Based on the example given above, before trade occurs, the relative price of cheese to wine reflects the opportunity cost of cheese in terms of wine in each country. When trade occurs however, there will only be one world market for both cheese and wine; which means there will only be one world relative price for each. This relative price is determined by forces of demand and supply.</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When analysing comparative advantage after trade, we need to take into account what happens in ALL markets simultaneously (</w:t>
      </w:r>
      <w:r>
        <w:rPr>
          <w:rStyle w:val="12"/>
          <w:color w:val="191919" w:themeColor="background1" w:themeShade="1A"/>
          <w:sz w:val="28"/>
          <w:szCs w:val="28"/>
          <w:lang w:val="en-US"/>
        </w:rPr>
        <w:t>general equilibrium analysis</w:t>
      </w:r>
      <w:r>
        <w:rPr>
          <w:color w:val="191919" w:themeColor="background1" w:themeShade="1A"/>
          <w:sz w:val="28"/>
          <w:szCs w:val="28"/>
          <w:lang w:val="en-US"/>
        </w:rPr>
        <w:t>). We can do so by analysing the </w:t>
      </w:r>
      <w:r>
        <w:rPr>
          <w:rStyle w:val="12"/>
          <w:color w:val="191919" w:themeColor="background1" w:themeShade="1A"/>
          <w:sz w:val="28"/>
          <w:szCs w:val="28"/>
          <w:lang w:val="en-US"/>
        </w:rPr>
        <w:t>relative demand </w:t>
      </w:r>
      <w:r>
        <w:rPr>
          <w:color w:val="191919" w:themeColor="background1" w:themeShade="1A"/>
          <w:sz w:val="28"/>
          <w:szCs w:val="28"/>
          <w:lang w:val="en-US"/>
        </w:rPr>
        <w:t>and </w:t>
      </w:r>
      <w:r>
        <w:rPr>
          <w:rStyle w:val="12"/>
          <w:color w:val="191919" w:themeColor="background1" w:themeShade="1A"/>
          <w:sz w:val="28"/>
          <w:szCs w:val="28"/>
          <w:lang w:val="en-US"/>
        </w:rPr>
        <w:t>relative supply</w:t>
      </w:r>
      <w:r>
        <w:rPr>
          <w:color w:val="191919" w:themeColor="background1" w:themeShade="1A"/>
          <w:sz w:val="28"/>
          <w:szCs w:val="28"/>
          <w:lang w:val="en-US"/>
        </w:rPr>
        <w:t>.</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thresholds on the Y axis are both relative unit labour requirement of home’s and foreign’s. In the X axis we put the WORLD relative quantity of cheese over wine.</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When the relative price of cheese is below the opportunity cost of producing it, none of the country will produce cheese (from 0 to </w:t>
      </w:r>
      <w:r>
        <w:rPr>
          <w:rStyle w:val="12"/>
          <w:color w:val="191919" w:themeColor="background1" w:themeShade="1A"/>
          <w:sz w:val="28"/>
          <w:szCs w:val="28"/>
          <w:lang w:val="en-US"/>
        </w:rPr>
        <w:t>a</w:t>
      </w:r>
      <w:r>
        <w:rPr>
          <w:rStyle w:val="12"/>
          <w:color w:val="191919" w:themeColor="background1" w:themeShade="1A"/>
          <w:sz w:val="28"/>
          <w:szCs w:val="28"/>
          <w:vertAlign w:val="subscript"/>
          <w:lang w:val="en-US"/>
        </w:rPr>
        <w:t>LC</w:t>
      </w:r>
      <w:r>
        <w:rPr>
          <w:color w:val="191919" w:themeColor="background1" w:themeShade="1A"/>
          <w:sz w:val="28"/>
          <w:szCs w:val="28"/>
          <w:lang w:val="en-US"/>
        </w:rPr>
        <w:t>/</w:t>
      </w:r>
      <w:r>
        <w:rPr>
          <w:rStyle w:val="12"/>
          <w:color w:val="191919" w:themeColor="background1" w:themeShade="1A"/>
          <w:sz w:val="28"/>
          <w:szCs w:val="28"/>
          <w:lang w:val="en-US"/>
        </w:rPr>
        <w:t>a</w:t>
      </w:r>
      <w:r>
        <w:rPr>
          <w:rStyle w:val="12"/>
          <w:color w:val="191919" w:themeColor="background1" w:themeShade="1A"/>
          <w:sz w:val="28"/>
          <w:szCs w:val="28"/>
          <w:vertAlign w:val="subscript"/>
          <w:lang w:val="en-US"/>
        </w:rPr>
        <w:t>LW</w:t>
      </w:r>
      <w:r>
        <w:rPr>
          <w:color w:val="191919" w:themeColor="background1" w:themeShade="1A"/>
          <w:sz w:val="28"/>
          <w:szCs w:val="28"/>
          <w:lang w:val="en-US"/>
        </w:rPr>
        <w:t>).</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When the relative price of cheese equals to home’s opportunity cost, home will specialise in producing cheese until its maximum relative production capacity (</w:t>
      </w:r>
      <w:r>
        <w:rPr>
          <w:rStyle w:val="12"/>
          <w:color w:val="191919" w:themeColor="background1" w:themeShade="1A"/>
          <w:sz w:val="28"/>
          <w:szCs w:val="28"/>
          <w:lang w:val="en-US"/>
        </w:rPr>
        <w:t>L/a</w:t>
      </w:r>
      <w:r>
        <w:rPr>
          <w:rStyle w:val="12"/>
          <w:color w:val="191919" w:themeColor="background1" w:themeShade="1A"/>
          <w:sz w:val="28"/>
          <w:szCs w:val="28"/>
          <w:vertAlign w:val="subscript"/>
          <w:lang w:val="en-US"/>
        </w:rPr>
        <w:t>LC</w:t>
      </w:r>
      <w:r>
        <w:rPr>
          <w:color w:val="191919" w:themeColor="background1" w:themeShade="1A"/>
          <w:sz w:val="28"/>
          <w:szCs w:val="28"/>
          <w:lang w:val="en-US"/>
        </w:rPr>
        <w:t>)/(</w:t>
      </w:r>
      <w:r>
        <w:rPr>
          <w:rStyle w:val="12"/>
          <w:color w:val="191919" w:themeColor="background1" w:themeShade="1A"/>
          <w:sz w:val="28"/>
          <w:szCs w:val="28"/>
          <w:lang w:val="en-US"/>
        </w:rPr>
        <w:t>L*/a*</w:t>
      </w:r>
      <w:r>
        <w:rPr>
          <w:rStyle w:val="12"/>
          <w:color w:val="191919" w:themeColor="background1" w:themeShade="1A"/>
          <w:sz w:val="28"/>
          <w:szCs w:val="28"/>
          <w:vertAlign w:val="subscript"/>
          <w:lang w:val="en-US"/>
        </w:rPr>
        <w:t>LW</w:t>
      </w:r>
      <w:r>
        <w:rPr>
          <w:rStyle w:val="12"/>
          <w:color w:val="191919" w:themeColor="background1" w:themeShade="1A"/>
          <w:sz w:val="28"/>
          <w:szCs w:val="28"/>
          <w:lang w:val="en-US"/>
        </w:rPr>
        <w:t>).</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As the price of cheese relative to the price of wine rises (</w:t>
      </w:r>
      <w:r>
        <w:rPr>
          <w:rStyle w:val="12"/>
          <w:color w:val="191919" w:themeColor="background1" w:themeShade="1A"/>
          <w:sz w:val="28"/>
          <w:szCs w:val="28"/>
          <w:lang w:val="en-US"/>
        </w:rPr>
        <w:t>demand curve relative to vertical part of supply curve</w:t>
      </w:r>
      <w:r>
        <w:rPr>
          <w:color w:val="191919" w:themeColor="background1" w:themeShade="1A"/>
          <w:sz w:val="28"/>
          <w:szCs w:val="28"/>
          <w:lang w:val="en-US"/>
        </w:rPr>
        <w:t>), consumers in all countries will tend to purchase less cheese and more wine so that the relative quantity demanded of cheese falls. The same can be said for the production in both countries. As the price of cheese rises, the wage of producing cheese will also rise. That being said, when the wage reaches foreign country’s opportunity cost of producing cheese, they will be willing to produce cheese. Consequently, the relative supply of cheese will become infinite.</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general, the relative price of cheese after trade will fall between the relative prices (</w:t>
      </w:r>
      <w:r>
        <w:rPr>
          <w:rStyle w:val="12"/>
          <w:color w:val="191919" w:themeColor="background1" w:themeShade="1A"/>
          <w:sz w:val="28"/>
          <w:szCs w:val="28"/>
          <w:lang w:val="en-US"/>
        </w:rPr>
        <w:t>opportunity costs</w:t>
      </w:r>
      <w:r>
        <w:rPr>
          <w:color w:val="191919" w:themeColor="background1" w:themeShade="1A"/>
          <w:sz w:val="28"/>
          <w:szCs w:val="28"/>
          <w:lang w:val="en-US"/>
        </w:rPr>
        <w:t>) of cheese in foreign and home </w:t>
      </w:r>
      <w:r>
        <w:rPr>
          <w:rStyle w:val="12"/>
          <w:color w:val="191919" w:themeColor="background1" w:themeShade="1A"/>
          <w:sz w:val="28"/>
          <w:szCs w:val="28"/>
          <w:lang w:val="en-US"/>
        </w:rPr>
        <w:t>before </w:t>
      </w:r>
      <w:r>
        <w:rPr>
          <w:color w:val="191919" w:themeColor="background1" w:themeShade="1A"/>
          <w:sz w:val="28"/>
          <w:szCs w:val="28"/>
          <w:lang w:val="en-US"/>
        </w:rPr>
        <w:t>trade.</w:t>
      </w:r>
    </w:p>
    <w:p>
      <w:pPr>
        <w:pStyle w:val="4"/>
        <w:ind w:firstLine="567"/>
        <w:jc w:val="both"/>
        <w:rPr>
          <w:color w:val="191919" w:themeColor="background1" w:themeShade="1A"/>
          <w:sz w:val="28"/>
          <w:szCs w:val="28"/>
          <w:lang w:val="en-US"/>
        </w:rPr>
      </w:pPr>
      <w:r>
        <w:rPr>
          <w:rStyle w:val="14"/>
          <w:b w:val="0"/>
          <w:bCs w:val="0"/>
          <w:color w:val="191919" w:themeColor="background1" w:themeShade="1A"/>
          <w:sz w:val="28"/>
          <w:szCs w:val="28"/>
          <w:lang w:val="en-US"/>
        </w:rPr>
        <w:t>Ways To Observe Gains From Trade</w:t>
      </w:r>
    </w:p>
    <w:p>
      <w:pPr>
        <w:pStyle w:val="10"/>
        <w:spacing w:before="0" w:beforeAutospacing="0" w:after="0" w:afterAutospacing="0"/>
        <w:jc w:val="both"/>
        <w:rPr>
          <w:color w:val="191919" w:themeColor="background1" w:themeShade="1A"/>
          <w:sz w:val="28"/>
          <w:szCs w:val="28"/>
          <w:lang w:val="en-US"/>
        </w:rPr>
      </w:pPr>
      <w:r>
        <w:rPr>
          <w:rStyle w:val="14"/>
          <w:color w:val="191919" w:themeColor="background1" w:themeShade="1A"/>
          <w:sz w:val="28"/>
          <w:szCs w:val="28"/>
          <w:lang w:val="en-US"/>
        </w:rPr>
        <w:t>1. Trade as a «better technology»</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We can look at trade as ‘indirect production method’ that is more efficient (less costly) for both countries. That being said, a country can gain from trading by specialising their production on a product or service that they have comparative advantage over and exchange the output for the product of another country that produces the product or service that they need.</w:t>
      </w:r>
    </w:p>
    <w:p>
      <w:pPr>
        <w:pStyle w:val="10"/>
        <w:spacing w:before="0" w:beforeAutospacing="0" w:after="0" w:afterAutospacing="0"/>
        <w:jc w:val="both"/>
        <w:rPr>
          <w:color w:val="191919" w:themeColor="background1" w:themeShade="1A"/>
          <w:sz w:val="28"/>
          <w:szCs w:val="28"/>
          <w:lang w:val="en-US"/>
        </w:rPr>
      </w:pPr>
      <w:r>
        <w:rPr>
          <w:rStyle w:val="14"/>
          <w:color w:val="191919" w:themeColor="background1" w:themeShade="1A"/>
          <w:sz w:val="28"/>
          <w:szCs w:val="28"/>
          <w:lang w:val="en-US"/>
        </w:rPr>
        <w:t>2. Trade as a way to extend Consumption Possibility Frontier (CPF)</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Another way of observing gains from trade is by looking at how trade affects </w:t>
      </w:r>
      <w:r>
        <w:rPr>
          <w:rStyle w:val="14"/>
          <w:color w:val="191919" w:themeColor="background1" w:themeShade="1A"/>
          <w:sz w:val="28"/>
          <w:szCs w:val="28"/>
          <w:lang w:val="en-US"/>
        </w:rPr>
        <w:t>Consumption Possibility Frontier (CPF)</w:t>
      </w:r>
      <w:r>
        <w:rPr>
          <w:color w:val="191919" w:themeColor="background1" w:themeShade="1A"/>
          <w:sz w:val="28"/>
          <w:szCs w:val="28"/>
          <w:lang w:val="en-US"/>
        </w:rPr>
        <w:t>. Without trade, consumption possibility (CPF) will only equal to the production possibility (PPF). With trade, the possibility will be higher.</w:t>
      </w:r>
    </w:p>
    <w:p>
      <w:pPr>
        <w:pStyle w:val="4"/>
        <w:ind w:firstLine="567"/>
        <w:jc w:val="both"/>
        <w:rPr>
          <w:color w:val="191919" w:themeColor="background1" w:themeShade="1A"/>
          <w:sz w:val="28"/>
          <w:szCs w:val="28"/>
          <w:lang w:val="en-US"/>
        </w:rPr>
      </w:pPr>
      <w:r>
        <w:rPr>
          <w:rStyle w:val="14"/>
          <w:b w:val="0"/>
          <w:bCs w:val="0"/>
          <w:color w:val="191919" w:themeColor="background1" w:themeShade="1A"/>
          <w:sz w:val="28"/>
          <w:szCs w:val="28"/>
          <w:lang w:val="en-US"/>
        </w:rPr>
        <w:t>Relative Wages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Relative wages are the wages of a country relative to the wages of another country they are trading with. Note that relative wage (</w:t>
      </w:r>
      <w:r>
        <w:rPr>
          <w:rStyle w:val="12"/>
          <w:color w:val="191919" w:themeColor="background1" w:themeShade="1A"/>
          <w:sz w:val="28"/>
          <w:szCs w:val="28"/>
          <w:lang w:val="en-US"/>
        </w:rPr>
        <w:t>in Ricardian model) </w:t>
      </w:r>
      <w:r>
        <w:rPr>
          <w:color w:val="191919" w:themeColor="background1" w:themeShade="1A"/>
          <w:sz w:val="28"/>
          <w:szCs w:val="28"/>
          <w:lang w:val="en-US"/>
        </w:rPr>
        <w:t>does not depend on the price of the product, rather on the productivity of the workers.</w:t>
      </w:r>
    </w:p>
    <w:p>
      <w:pPr>
        <w:pStyle w:val="10"/>
        <w:spacing w:before="0" w:beforeAutospacing="0" w:after="0" w:afterAutospacing="0"/>
        <w:jc w:val="both"/>
        <w:rPr>
          <w:color w:val="191919" w:themeColor="background1" w:themeShade="1A"/>
          <w:sz w:val="28"/>
          <w:szCs w:val="28"/>
          <w:lang w:val="en-US"/>
        </w:rPr>
      </w:pPr>
      <w:r>
        <w:rPr>
          <w:rStyle w:val="14"/>
          <w:color w:val="191919" w:themeColor="background1" w:themeShade="1A"/>
          <w:sz w:val="28"/>
          <w:szCs w:val="28"/>
          <w:lang w:val="en-US"/>
        </w:rPr>
        <w:t>Numerical Example:</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Suppose that </w:t>
      </w:r>
      <w:r>
        <w:rPr>
          <w:rStyle w:val="12"/>
          <w:color w:val="191919" w:themeColor="background1" w:themeShade="1A"/>
          <w:sz w:val="28"/>
          <w:szCs w:val="28"/>
          <w:lang w:val="en-US"/>
        </w:rPr>
        <w:t>P</w:t>
      </w:r>
      <w:r>
        <w:rPr>
          <w:rStyle w:val="12"/>
          <w:color w:val="191919" w:themeColor="background1" w:themeShade="1A"/>
          <w:sz w:val="28"/>
          <w:szCs w:val="28"/>
          <w:vertAlign w:val="subscript"/>
          <w:lang w:val="en-US"/>
        </w:rPr>
        <w:t>C </w:t>
      </w:r>
      <w:r>
        <w:rPr>
          <w:color w:val="191919" w:themeColor="background1" w:themeShade="1A"/>
          <w:sz w:val="28"/>
          <w:szCs w:val="28"/>
          <w:lang w:val="en-US"/>
        </w:rPr>
        <w:t>= 12 and</w:t>
      </w:r>
      <w:r>
        <w:rPr>
          <w:rStyle w:val="12"/>
          <w:color w:val="191919" w:themeColor="background1" w:themeShade="1A"/>
          <w:sz w:val="28"/>
          <w:szCs w:val="28"/>
          <w:lang w:val="en-US"/>
        </w:rPr>
        <w:t> P</w:t>
      </w:r>
      <w:r>
        <w:rPr>
          <w:rStyle w:val="12"/>
          <w:color w:val="191919" w:themeColor="background1" w:themeShade="1A"/>
          <w:sz w:val="28"/>
          <w:szCs w:val="28"/>
          <w:vertAlign w:val="subscript"/>
          <w:lang w:val="en-US"/>
        </w:rPr>
        <w:t>W </w:t>
      </w:r>
      <w:r>
        <w:rPr>
          <w:color w:val="191919" w:themeColor="background1" w:themeShade="1A"/>
          <w:sz w:val="28"/>
          <w:szCs w:val="28"/>
          <w:lang w:val="en-US"/>
        </w:rPr>
        <w:t>= 12</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Since domestic workers specialise in cheese production after trade, their hourly wages will be </w:t>
      </w:r>
      <w:r>
        <w:rPr>
          <w:rStyle w:val="12"/>
          <w:b/>
          <w:bCs/>
          <w:color w:val="191919" w:themeColor="background1" w:themeShade="1A"/>
          <w:sz w:val="28"/>
          <w:szCs w:val="28"/>
          <w:lang w:val="en-US"/>
        </w:rPr>
        <w:t>P</w:t>
      </w:r>
      <w:r>
        <w:rPr>
          <w:rStyle w:val="12"/>
          <w:b/>
          <w:bCs/>
          <w:color w:val="191919" w:themeColor="background1" w:themeShade="1A"/>
          <w:sz w:val="28"/>
          <w:szCs w:val="28"/>
          <w:vertAlign w:val="subscript"/>
          <w:lang w:val="en-US"/>
        </w:rPr>
        <w:t>C</w:t>
      </w:r>
      <w:r>
        <w:rPr>
          <w:rStyle w:val="14"/>
          <w:color w:val="191919" w:themeColor="background1" w:themeShade="1A"/>
          <w:sz w:val="28"/>
          <w:szCs w:val="28"/>
          <w:lang w:val="en-US"/>
        </w:rPr>
        <w:t>/</w:t>
      </w:r>
      <w:r>
        <w:rPr>
          <w:rStyle w:val="12"/>
          <w:b/>
          <w:bCs/>
          <w:color w:val="191919" w:themeColor="background1" w:themeShade="1A"/>
          <w:sz w:val="28"/>
          <w:szCs w:val="28"/>
          <w:lang w:val="en-US"/>
        </w:rPr>
        <w:t>a</w:t>
      </w:r>
      <w:r>
        <w:rPr>
          <w:rStyle w:val="12"/>
          <w:b/>
          <w:bCs/>
          <w:color w:val="191919" w:themeColor="background1" w:themeShade="1A"/>
          <w:sz w:val="28"/>
          <w:szCs w:val="28"/>
          <w:vertAlign w:val="subscript"/>
          <w:lang w:val="en-US"/>
        </w:rPr>
        <w:t>LC </w:t>
      </w:r>
      <w:r>
        <w:rPr>
          <w:rStyle w:val="14"/>
          <w:color w:val="191919" w:themeColor="background1" w:themeShade="1A"/>
          <w:sz w:val="28"/>
          <w:szCs w:val="28"/>
          <w:lang w:val="en-US"/>
        </w:rPr>
        <w:t>= 12/1 = 12</w:t>
      </w:r>
      <w:r>
        <w:rPr>
          <w:color w:val="191919" w:themeColor="background1" w:themeShade="1A"/>
          <w:sz w:val="28"/>
          <w:szCs w:val="28"/>
          <w:lang w:val="en-US"/>
        </w:rPr>
        <w:t>; since foreign workers specialise in wine production after trade, their hourly wages will be </w:t>
      </w:r>
      <w:r>
        <w:rPr>
          <w:rStyle w:val="12"/>
          <w:b/>
          <w:bCs/>
          <w:color w:val="191919" w:themeColor="background1" w:themeShade="1A"/>
          <w:sz w:val="28"/>
          <w:szCs w:val="28"/>
          <w:lang w:val="en-US"/>
        </w:rPr>
        <w:t>P</w:t>
      </w:r>
      <w:r>
        <w:rPr>
          <w:rStyle w:val="12"/>
          <w:b/>
          <w:bCs/>
          <w:color w:val="191919" w:themeColor="background1" w:themeShade="1A"/>
          <w:sz w:val="28"/>
          <w:szCs w:val="28"/>
          <w:vertAlign w:val="subscript"/>
          <w:lang w:val="en-US"/>
        </w:rPr>
        <w:t>W</w:t>
      </w:r>
      <w:r>
        <w:rPr>
          <w:rStyle w:val="14"/>
          <w:color w:val="191919" w:themeColor="background1" w:themeShade="1A"/>
          <w:sz w:val="28"/>
          <w:szCs w:val="28"/>
          <w:lang w:val="en-US"/>
        </w:rPr>
        <w:t>/</w:t>
      </w:r>
      <w:r>
        <w:rPr>
          <w:rStyle w:val="12"/>
          <w:b/>
          <w:bCs/>
          <w:color w:val="191919" w:themeColor="background1" w:themeShade="1A"/>
          <w:sz w:val="28"/>
          <w:szCs w:val="28"/>
          <w:lang w:val="en-US"/>
        </w:rPr>
        <w:t>a</w:t>
      </w:r>
      <w:r>
        <w:rPr>
          <w:rStyle w:val="12"/>
          <w:b/>
          <w:bCs/>
          <w:color w:val="191919" w:themeColor="background1" w:themeShade="1A"/>
          <w:sz w:val="28"/>
          <w:szCs w:val="28"/>
          <w:vertAlign w:val="subscript"/>
          <w:lang w:val="en-US"/>
        </w:rPr>
        <w:t>LW </w:t>
      </w:r>
      <w:r>
        <w:rPr>
          <w:rStyle w:val="14"/>
          <w:color w:val="191919" w:themeColor="background1" w:themeShade="1A"/>
          <w:sz w:val="28"/>
          <w:szCs w:val="28"/>
          <w:lang w:val="en-US"/>
        </w:rPr>
        <w:t>= 12/3 = 4</w:t>
      </w:r>
      <w:r>
        <w:rPr>
          <w:color w:val="191919" w:themeColor="background1" w:themeShade="1A"/>
          <w:sz w:val="28"/>
          <w:szCs w:val="28"/>
          <w:lang w:val="en-US"/>
        </w:rPr>
        <w:t>.</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relative wage of </w:t>
      </w:r>
      <w:r>
        <w:rPr>
          <w:rStyle w:val="12"/>
          <w:color w:val="191919" w:themeColor="background1" w:themeShade="1A"/>
          <w:sz w:val="28"/>
          <w:szCs w:val="28"/>
          <w:lang w:val="en-US"/>
        </w:rPr>
        <w:t>domestic </w:t>
      </w:r>
      <w:r>
        <w:rPr>
          <w:color w:val="191919" w:themeColor="background1" w:themeShade="1A"/>
          <w:sz w:val="28"/>
          <w:szCs w:val="28"/>
          <w:lang w:val="en-US"/>
        </w:rPr>
        <w:t>workers is therefore </w:t>
      </w:r>
      <w:r>
        <w:rPr>
          <w:rStyle w:val="14"/>
          <w:color w:val="191919" w:themeColor="background1" w:themeShade="1A"/>
          <w:sz w:val="28"/>
          <w:szCs w:val="28"/>
          <w:lang w:val="en-US"/>
        </w:rPr>
        <w:t>12/4 = 3</w:t>
      </w:r>
      <w:r>
        <w:rPr>
          <w:color w:val="191919" w:themeColor="background1" w:themeShade="1A"/>
          <w:sz w:val="28"/>
          <w:szCs w:val="28"/>
          <w:lang w:val="en-US"/>
        </w:rPr>
        <w:t>. Which means home country’s wage is 3 times higher than the foreign country’s wage.</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From this illustration we can also observe that both countries have their own </w:t>
      </w:r>
      <w:r>
        <w:rPr>
          <w:rStyle w:val="14"/>
          <w:color w:val="191919" w:themeColor="background1" w:themeShade="1A"/>
          <w:sz w:val="28"/>
          <w:szCs w:val="28"/>
          <w:lang w:val="en-US"/>
        </w:rPr>
        <w:t>Cost Advantage</w:t>
      </w:r>
      <w:r>
        <w:rPr>
          <w:color w:val="191919" w:themeColor="background1" w:themeShade="1A"/>
          <w:sz w:val="28"/>
          <w:szCs w:val="28"/>
          <w:lang w:val="en-US"/>
        </w:rPr>
        <w:t> in production:</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Foreign country has their cost advantage from their lower wage in wine production despite lower productivity.</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Home country has their cost advantage from their productivity in cheese production relative to foreign country’s, despite higher wages.</w:t>
      </w:r>
    </w:p>
    <w:p>
      <w:pPr>
        <w:pStyle w:val="10"/>
        <w:spacing w:before="0" w:beforeAutospacing="0" w:after="0" w:afterAutospacing="0"/>
        <w:ind w:firstLine="567"/>
        <w:jc w:val="both"/>
        <w:rPr>
          <w:color w:val="191919" w:themeColor="background1" w:themeShade="1A"/>
          <w:sz w:val="28"/>
          <w:szCs w:val="28"/>
          <w:lang w:val="en-US"/>
        </w:rPr>
      </w:pPr>
      <w:r>
        <w:rPr>
          <w:rStyle w:val="14"/>
          <w:color w:val="191919" w:themeColor="background1" w:themeShade="1A"/>
          <w:sz w:val="28"/>
          <w:szCs w:val="28"/>
          <w:lang w:val="en-US"/>
        </w:rPr>
        <w:t>Model Implication </w:t>
      </w:r>
      <w:r>
        <w:rPr>
          <w:color w:val="191919" w:themeColor="background1" w:themeShade="1A"/>
          <w:sz w:val="28"/>
          <w:szCs w:val="28"/>
          <w:lang w:val="en-US"/>
        </w:rPr>
        <w:t>:</w:t>
      </w:r>
      <w:r>
        <w:rPr>
          <w:rStyle w:val="14"/>
          <w:color w:val="191919" w:themeColor="background1" w:themeShade="1A"/>
          <w:sz w:val="28"/>
          <w:szCs w:val="28"/>
          <w:lang w:val="en-US"/>
        </w:rPr>
        <w:t> </w:t>
      </w:r>
      <w:r>
        <w:rPr>
          <w:color w:val="191919" w:themeColor="background1" w:themeShade="1A"/>
          <w:sz w:val="28"/>
          <w:szCs w:val="28"/>
          <w:lang w:val="en-US"/>
        </w:rPr>
        <w:t>as long as each countries has their own comparative advantage, even though their productivities differ from each other, both countries can gain from trade.</w:t>
      </w:r>
    </w:p>
    <w:p>
      <w:pPr>
        <w:pStyle w:val="10"/>
        <w:spacing w:before="0" w:beforeAutospacing="0" w:after="0" w:afterAutospacing="0"/>
        <w:ind w:firstLine="567"/>
        <w:jc w:val="both"/>
        <w:rPr>
          <w:color w:val="191919" w:themeColor="background1" w:themeShade="1A"/>
          <w:sz w:val="28"/>
          <w:szCs w:val="28"/>
          <w:lang w:val="en-US"/>
        </w:rPr>
      </w:pPr>
      <w:r>
        <w:rPr>
          <w:rStyle w:val="14"/>
          <w:color w:val="191919" w:themeColor="background1" w:themeShade="1A"/>
          <w:sz w:val="28"/>
          <w:szCs w:val="28"/>
          <w:lang w:val="en-US"/>
        </w:rPr>
        <w:t>Empirical Evidence </w:t>
      </w:r>
      <w:r>
        <w:rPr>
          <w:color w:val="191919" w:themeColor="background1" w:themeShade="1A"/>
          <w:sz w:val="28"/>
          <w:szCs w:val="28"/>
          <w:lang w:val="en-US"/>
        </w:rPr>
        <w:t>: many studies have proven the positive correlation between wages and productivity. Below is a scatterplot that shows that a country’s wage rate is roughly proportional to the country’s productivity.</w:t>
      </w:r>
    </w:p>
    <w:p>
      <w:pPr>
        <w:pStyle w:val="4"/>
        <w:ind w:firstLine="567"/>
        <w:jc w:val="both"/>
        <w:rPr>
          <w:color w:val="191919" w:themeColor="background1" w:themeShade="1A"/>
          <w:sz w:val="28"/>
          <w:szCs w:val="28"/>
          <w:lang w:val="en-US"/>
        </w:rPr>
      </w:pPr>
      <w:r>
        <w:rPr>
          <w:rStyle w:val="14"/>
          <w:b w:val="0"/>
          <w:bCs w:val="0"/>
          <w:color w:val="191919" w:themeColor="background1" w:themeShade="1A"/>
          <w:sz w:val="28"/>
          <w:szCs w:val="28"/>
          <w:lang w:val="en-US"/>
        </w:rPr>
        <w:t>Comparative Advantage With Many Goods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With many goods involved in trade, pattern of trade depends only on the </w:t>
      </w:r>
      <w:r>
        <w:rPr>
          <w:b/>
          <w:bCs/>
          <w:color w:val="191919" w:themeColor="background1" w:themeShade="1A"/>
          <w:sz w:val="28"/>
          <w:szCs w:val="28"/>
          <w:lang w:val="en-US"/>
        </w:rPr>
        <w:t>ratio of Home to Foreign wages</w:t>
      </w:r>
      <w:r>
        <w:rPr>
          <w:color w:val="191919" w:themeColor="background1" w:themeShade="1A"/>
          <w:sz w:val="28"/>
          <w:szCs w:val="28"/>
          <w:lang w:val="en-US"/>
        </w:rPr>
        <w:t>. Simply put, </w:t>
      </w:r>
      <w:r>
        <w:rPr>
          <w:i/>
          <w:iCs/>
          <w:color w:val="191919" w:themeColor="background1" w:themeShade="1A"/>
          <w:sz w:val="28"/>
          <w:szCs w:val="28"/>
          <w:lang w:val="en-US"/>
        </w:rPr>
        <w:t>goods will only be produced where it is the cheapest to make them. </w:t>
      </w:r>
      <w:r>
        <w:rPr>
          <w:color w:val="191919" w:themeColor="background1" w:themeShade="1A"/>
          <w:sz w:val="28"/>
          <w:szCs w:val="28"/>
          <w:lang w:val="en-US"/>
        </w:rPr>
        <w:t>In other words, the general rule is as long as the wage of producing that good is still higher than the relative </w:t>
      </w:r>
      <w:r>
        <w:rPr>
          <w:b/>
          <w:bCs/>
          <w:color w:val="191919" w:themeColor="background1" w:themeShade="1A"/>
          <w:sz w:val="28"/>
          <w:szCs w:val="28"/>
          <w:lang w:val="en-US"/>
        </w:rPr>
        <w:t>Home Productivity Advantage </w:t>
      </w:r>
      <w:r>
        <w:rPr>
          <w:color w:val="191919" w:themeColor="background1" w:themeShade="1A"/>
          <w:sz w:val="28"/>
          <w:szCs w:val="28"/>
          <w:lang w:val="en-US"/>
        </w:rPr>
        <w:t>(</w:t>
      </w:r>
      <w:r>
        <w:rPr>
          <w:i/>
          <w:iCs/>
          <w:color w:val="191919" w:themeColor="background1" w:themeShade="1A"/>
          <w:sz w:val="28"/>
          <w:szCs w:val="28"/>
          <w:lang w:val="en-US"/>
        </w:rPr>
        <w:t>a*</w:t>
      </w:r>
      <w:r>
        <w:rPr>
          <w:i/>
          <w:iCs/>
          <w:color w:val="191919" w:themeColor="background1" w:themeShade="1A"/>
          <w:sz w:val="28"/>
          <w:szCs w:val="28"/>
          <w:vertAlign w:val="subscript"/>
          <w:lang w:val="en-US"/>
        </w:rPr>
        <w:t>Li</w:t>
      </w:r>
      <w:r>
        <w:rPr>
          <w:color w:val="191919" w:themeColor="background1" w:themeShade="1A"/>
          <w:sz w:val="28"/>
          <w:szCs w:val="28"/>
          <w:lang w:val="en-US"/>
        </w:rPr>
        <w:t>/a</w:t>
      </w:r>
      <w:r>
        <w:rPr>
          <w:i/>
          <w:iCs/>
          <w:color w:val="191919" w:themeColor="background1" w:themeShade="1A"/>
          <w:sz w:val="28"/>
          <w:szCs w:val="28"/>
          <w:vertAlign w:val="subscript"/>
          <w:lang w:val="en-US"/>
        </w:rPr>
        <w:t>Li</w:t>
      </w:r>
      <w:r>
        <w:rPr>
          <w:color w:val="191919" w:themeColor="background1" w:themeShade="1A"/>
          <w:sz w:val="28"/>
          <w:szCs w:val="28"/>
          <w:lang w:val="en-US"/>
        </w:rPr>
        <w:t>), produce at Home. Say relative wage per hour is 3, in this case, home will produce apples, bananas and caviar at Home and ‘produce’ the rest outside of the country.</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the two-goods model, we can determine the relative wages because we know who produces what based on their comparative advantages. In the multi-goods model however, we need to know the relative wages before we can determine who will produce what. To find these, we need to take a look at the </w:t>
      </w:r>
      <w:r>
        <w:rPr>
          <w:b/>
          <w:bCs/>
          <w:color w:val="191919" w:themeColor="background1" w:themeShade="1A"/>
          <w:sz w:val="28"/>
          <w:szCs w:val="28"/>
          <w:lang w:val="en-US"/>
        </w:rPr>
        <w:t>derived demand </w:t>
      </w:r>
      <w:r>
        <w:rPr>
          <w:color w:val="191919" w:themeColor="background1" w:themeShade="1A"/>
          <w:sz w:val="28"/>
          <w:szCs w:val="28"/>
          <w:lang w:val="en-US"/>
        </w:rPr>
        <w:t>that results from the demand for goods produced with each country’s labour (not the customers’ direct demand). In other words, it is determined by the relative supply and demand for labour services of each products. In the Ricardian Model, the supply of labour is assumed to be fixed (no immigration).</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By putting the relative supply curve and the relative demand curve together, we can determine the equilibrium relative quantity of labour demanded in each country, equilibrium relative wage, and the production that occurs in each country.</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other words, these elements depend on the relative size of each country’s size (</w:t>
      </w:r>
      <w:r>
        <w:rPr>
          <w:i/>
          <w:iCs/>
          <w:color w:val="191919" w:themeColor="background1" w:themeShade="1A"/>
          <w:sz w:val="28"/>
          <w:szCs w:val="28"/>
          <w:lang w:val="en-US"/>
        </w:rPr>
        <w:t>which determines the relative labour supply and the position of the RS curve</w:t>
      </w:r>
      <w:r>
        <w:rPr>
          <w:color w:val="191919" w:themeColor="background1" w:themeShade="1A"/>
          <w:sz w:val="28"/>
          <w:szCs w:val="28"/>
          <w:lang w:val="en-US"/>
        </w:rPr>
        <w:t>) and the relative demand of the goods produced (</w:t>
      </w:r>
      <w:r>
        <w:rPr>
          <w:i/>
          <w:iCs/>
          <w:color w:val="191919" w:themeColor="background1" w:themeShade="1A"/>
          <w:sz w:val="28"/>
          <w:szCs w:val="28"/>
          <w:lang w:val="en-US"/>
        </w:rPr>
        <w:t>determines the shape and position of the relative demand (RD) curve</w:t>
      </w:r>
      <w:r>
        <w:rPr>
          <w:color w:val="191919" w:themeColor="background1" w:themeShade="1A"/>
          <w:sz w:val="28"/>
          <w:szCs w:val="28"/>
          <w:lang w:val="en-US"/>
        </w:rPr>
        <w:t>).</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From this graph, we can see that whenever we increase the wage rate of the relative demand of Home workers relative to that of Foreign workers, the relative demand for goods produced in Home will decline and the demand for Home labour will decline with it. The flat lines correspond to relative wages that equal to the ratio of Home to Foreign productivity for each of the five goods. If the intersection of RD and RS happens to lie on one of the flat lines, both countries will produce the good to which the flat applies.</w:t>
      </w:r>
    </w:p>
    <w:p>
      <w:pPr>
        <w:pStyle w:val="4"/>
        <w:ind w:firstLine="567"/>
        <w:jc w:val="both"/>
        <w:rPr>
          <w:color w:val="191919" w:themeColor="background1" w:themeShade="1A"/>
          <w:sz w:val="28"/>
          <w:szCs w:val="28"/>
          <w:lang w:val="en-US"/>
        </w:rPr>
      </w:pPr>
      <w:r>
        <w:rPr>
          <w:rStyle w:val="14"/>
          <w:b w:val="0"/>
          <w:bCs w:val="0"/>
          <w:color w:val="191919" w:themeColor="background1" w:themeShade="1A"/>
          <w:sz w:val="28"/>
          <w:szCs w:val="28"/>
          <w:lang w:val="en-US"/>
        </w:rPr>
        <w:t>Transportation Costs and Non-Traded Goods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Ricardian model predicts that country completely specialise in production (maximum one good produced by both). However, this rarely happens in reality for at least four main reasons:</w:t>
      </w:r>
    </w:p>
    <w:p>
      <w:pPr>
        <w:numPr>
          <w:ilvl w:val="0"/>
          <w:numId w:val="20"/>
        </w:numPr>
        <w:tabs>
          <w:tab w:val="left" w:pos="851"/>
        </w:tabs>
        <w:spacing w:after="0" w:line="240" w:lineRule="auto"/>
        <w:ind w:left="0" w:firstLine="567"/>
        <w:jc w:val="both"/>
        <w:rPr>
          <w:rFonts w:ascii="Times New Roman" w:hAnsi="Times New Roman"/>
          <w:color w:val="191919" w:themeColor="background1" w:themeShade="1A"/>
          <w:sz w:val="28"/>
          <w:szCs w:val="28"/>
          <w:lang w:val="en-US"/>
        </w:rPr>
      </w:pPr>
      <w:r>
        <w:rPr>
          <w:rStyle w:val="14"/>
          <w:rFonts w:ascii="Times New Roman" w:hAnsi="Times New Roman"/>
          <w:color w:val="191919" w:themeColor="background1" w:themeShade="1A"/>
          <w:sz w:val="28"/>
          <w:szCs w:val="28"/>
          <w:lang w:val="en-US"/>
        </w:rPr>
        <w:t>There is more than one factor of production</w:t>
      </w:r>
      <w:r>
        <w:rPr>
          <w:rFonts w:ascii="Times New Roman" w:hAnsi="Times New Roman"/>
          <w:color w:val="191919" w:themeColor="background1" w:themeShade="1A"/>
          <w:sz w:val="28"/>
          <w:szCs w:val="28"/>
          <w:lang w:val="en-US"/>
        </w:rPr>
        <w:t>. More factor of production will lead to reduction of tendency in specialisation;</w:t>
      </w:r>
    </w:p>
    <w:p>
      <w:pPr>
        <w:numPr>
          <w:ilvl w:val="0"/>
          <w:numId w:val="20"/>
        </w:numPr>
        <w:tabs>
          <w:tab w:val="left" w:pos="851"/>
        </w:tabs>
        <w:spacing w:after="0" w:line="240" w:lineRule="auto"/>
        <w:ind w:left="0" w:firstLine="567"/>
        <w:jc w:val="both"/>
        <w:rPr>
          <w:rFonts w:ascii="Times New Roman" w:hAnsi="Times New Roman"/>
          <w:color w:val="191919" w:themeColor="background1" w:themeShade="1A"/>
          <w:sz w:val="28"/>
          <w:szCs w:val="28"/>
          <w:lang w:val="en-US"/>
        </w:rPr>
      </w:pPr>
      <w:r>
        <w:rPr>
          <w:rStyle w:val="14"/>
          <w:rFonts w:ascii="Times New Roman" w:hAnsi="Times New Roman"/>
          <w:color w:val="191919" w:themeColor="background1" w:themeShade="1A"/>
          <w:sz w:val="28"/>
          <w:szCs w:val="28"/>
          <w:lang w:val="en-US"/>
        </w:rPr>
        <w:t>Protectionism</w:t>
      </w:r>
      <w:r>
        <w:rPr>
          <w:rFonts w:ascii="Times New Roman" w:hAnsi="Times New Roman"/>
          <w:color w:val="191919" w:themeColor="background1" w:themeShade="1A"/>
          <w:sz w:val="28"/>
          <w:szCs w:val="28"/>
          <w:lang w:val="en-US"/>
        </w:rPr>
        <w:t>. Government plays a major role in setting up barriers for trade (i.e. tariffs and quotas for certain goods or services);</w:t>
      </w:r>
    </w:p>
    <w:p>
      <w:pPr>
        <w:numPr>
          <w:ilvl w:val="0"/>
          <w:numId w:val="20"/>
        </w:numPr>
        <w:tabs>
          <w:tab w:val="left" w:pos="851"/>
        </w:tabs>
        <w:spacing w:after="0" w:line="240" w:lineRule="auto"/>
        <w:ind w:left="0" w:firstLine="567"/>
        <w:jc w:val="both"/>
        <w:rPr>
          <w:rFonts w:ascii="Times New Roman" w:hAnsi="Times New Roman"/>
          <w:color w:val="191919" w:themeColor="background1" w:themeShade="1A"/>
          <w:sz w:val="28"/>
          <w:szCs w:val="28"/>
          <w:lang w:val="en-US"/>
        </w:rPr>
      </w:pPr>
      <w:r>
        <w:rPr>
          <w:rStyle w:val="14"/>
          <w:rFonts w:ascii="Times New Roman" w:hAnsi="Times New Roman"/>
          <w:color w:val="191919" w:themeColor="background1" w:themeShade="1A"/>
          <w:sz w:val="28"/>
          <w:szCs w:val="28"/>
          <w:lang w:val="en-US"/>
        </w:rPr>
        <w:t>Transportation costs</w:t>
      </w:r>
      <w:r>
        <w:rPr>
          <w:rFonts w:ascii="Times New Roman" w:hAnsi="Times New Roman"/>
          <w:color w:val="191919" w:themeColor="background1" w:themeShade="1A"/>
          <w:sz w:val="28"/>
          <w:szCs w:val="28"/>
          <w:lang w:val="en-US"/>
        </w:rPr>
        <w:t>. In some cases, transportation costs are enough to lead countries into self-sufficiency in certain sectors of industry;</w:t>
      </w:r>
    </w:p>
    <w:p>
      <w:pPr>
        <w:numPr>
          <w:ilvl w:val="0"/>
          <w:numId w:val="20"/>
        </w:numPr>
        <w:tabs>
          <w:tab w:val="left" w:pos="851"/>
        </w:tabs>
        <w:spacing w:after="0" w:line="240" w:lineRule="auto"/>
        <w:ind w:left="0" w:firstLine="567"/>
        <w:jc w:val="both"/>
        <w:rPr>
          <w:rFonts w:ascii="Times New Roman" w:hAnsi="Times New Roman"/>
          <w:color w:val="191919" w:themeColor="background1" w:themeShade="1A"/>
          <w:sz w:val="28"/>
          <w:szCs w:val="28"/>
          <w:lang w:val="en-US"/>
        </w:rPr>
      </w:pPr>
      <w:r>
        <w:rPr>
          <w:rStyle w:val="14"/>
          <w:rFonts w:ascii="Times New Roman" w:hAnsi="Times New Roman"/>
          <w:color w:val="191919" w:themeColor="background1" w:themeShade="1A"/>
          <w:sz w:val="28"/>
          <w:szCs w:val="28"/>
          <w:lang w:val="en-US"/>
        </w:rPr>
        <w:t>Customers like variety</w:t>
      </w:r>
      <w:r>
        <w:rPr>
          <w:rFonts w:ascii="Times New Roman" w:hAnsi="Times New Roman"/>
          <w:color w:val="191919" w:themeColor="background1" w:themeShade="1A"/>
          <w:sz w:val="28"/>
          <w:szCs w:val="28"/>
          <w:lang w:val="en-US"/>
        </w:rPr>
        <w:t>. Take apple for example, although on the paper they all look the same, customers prefer to have options of what kind of apples they can buy.</w:t>
      </w:r>
    </w:p>
    <w:p>
      <w:pPr>
        <w:pStyle w:val="4"/>
        <w:ind w:firstLine="567"/>
        <w:jc w:val="both"/>
        <w:rPr>
          <w:color w:val="191919" w:themeColor="background1" w:themeShade="1A"/>
          <w:sz w:val="28"/>
          <w:szCs w:val="28"/>
          <w:lang w:val="en-US"/>
        </w:rPr>
      </w:pPr>
      <w:r>
        <w:rPr>
          <w:rStyle w:val="14"/>
          <w:b w:val="0"/>
          <w:bCs w:val="0"/>
          <w:color w:val="191919" w:themeColor="background1" w:themeShade="1A"/>
          <w:sz w:val="28"/>
          <w:szCs w:val="28"/>
          <w:lang w:val="en-US"/>
        </w:rPr>
        <w:t>Empirical Evidence of Ricardian Model</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study done in 1951 shows that U.S. exported goods to the U.K. that they have higher relative productivity over. The data confirms the model predictions, U.S. had an absolute advantage in all 26 industries, yet the ratio of exports was low in the least productive ones.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Another study in 1995 that compared the Chinese output and productivity with that of Germany for various industries also shows similar evidence. Chinese productivity (</w:t>
      </w:r>
      <w:r>
        <w:rPr>
          <w:rStyle w:val="12"/>
          <w:color w:val="191919" w:themeColor="background1" w:themeShade="1A"/>
          <w:sz w:val="28"/>
          <w:szCs w:val="28"/>
          <w:lang w:val="en-US"/>
        </w:rPr>
        <w:t>output per worker</w:t>
      </w:r>
      <w:r>
        <w:rPr>
          <w:color w:val="191919" w:themeColor="background1" w:themeShade="1A"/>
          <w:sz w:val="28"/>
          <w:szCs w:val="28"/>
          <w:lang w:val="en-US"/>
        </w:rPr>
        <w:t>) was only 5 percent of Germany’s on average. However, Chinese productivity in apparel was about 20 percent higher of Germany’s.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From these empirical evidences, we can conclude that: Productivity differences play an important role in international trade; Comparative advantage (</w:t>
      </w:r>
      <w:r>
        <w:rPr>
          <w:rStyle w:val="12"/>
          <w:color w:val="191919" w:themeColor="background1" w:themeShade="1A"/>
          <w:sz w:val="28"/>
          <w:szCs w:val="28"/>
          <w:lang w:val="en-US"/>
        </w:rPr>
        <w:t>not absolute advantage) </w:t>
      </w:r>
      <w:r>
        <w:rPr>
          <w:color w:val="191919" w:themeColor="background1" w:themeShade="1A"/>
          <w:sz w:val="28"/>
          <w:szCs w:val="28"/>
          <w:lang w:val="en-US"/>
        </w:rPr>
        <w:t>matters for trade.</w:t>
      </w:r>
    </w:p>
    <w:p>
      <w:pPr>
        <w:pStyle w:val="10"/>
        <w:spacing w:before="0" w:beforeAutospacing="0" w:after="0" w:afterAutospacing="0"/>
        <w:ind w:firstLine="567"/>
        <w:jc w:val="both"/>
        <w:rPr>
          <w:color w:val="191919" w:themeColor="background1" w:themeShade="1A"/>
          <w:sz w:val="28"/>
          <w:szCs w:val="28"/>
        </w:rPr>
      </w:pPr>
      <w:r>
        <w:rPr>
          <w:color w:val="191919" w:themeColor="background1" w:themeShade="1A"/>
          <w:sz w:val="28"/>
          <w:szCs w:val="28"/>
        </w:rPr>
        <w:t>Key Takeaways:</w:t>
      </w:r>
    </w:p>
    <w:p>
      <w:pPr>
        <w:numPr>
          <w:ilvl w:val="0"/>
          <w:numId w:val="21"/>
        </w:numPr>
        <w:spacing w:after="0" w:line="240" w:lineRule="auto"/>
        <w:ind w:left="0" w:firstLine="567"/>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Differences in the productivity of labor across countries generate comparative advantage;</w:t>
      </w:r>
    </w:p>
    <w:p>
      <w:pPr>
        <w:numPr>
          <w:ilvl w:val="0"/>
          <w:numId w:val="21"/>
        </w:numPr>
        <w:spacing w:after="0" w:line="240" w:lineRule="auto"/>
        <w:ind w:left="0" w:firstLine="567"/>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Comparative advantage is measured by the opportunity cost of producing that good. The country with the lowest opportunity cost, has the comparative advantage;</w:t>
      </w:r>
    </w:p>
    <w:p>
      <w:pPr>
        <w:numPr>
          <w:ilvl w:val="0"/>
          <w:numId w:val="21"/>
        </w:numPr>
        <w:spacing w:after="0" w:line="240" w:lineRule="auto"/>
        <w:ind w:left="0" w:firstLine="567"/>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When each country export goods that they have comparative advantage over, </w:t>
      </w:r>
      <w:r>
        <w:rPr>
          <w:rStyle w:val="12"/>
          <w:rFonts w:ascii="Times New Roman" w:hAnsi="Times New Roman"/>
          <w:color w:val="191919" w:themeColor="background1" w:themeShade="1A"/>
          <w:sz w:val="28"/>
          <w:szCs w:val="28"/>
          <w:lang w:val="en-US"/>
        </w:rPr>
        <w:t>everyone </w:t>
      </w:r>
      <w:r>
        <w:rPr>
          <w:rFonts w:ascii="Times New Roman" w:hAnsi="Times New Roman"/>
          <w:color w:val="191919" w:themeColor="background1" w:themeShade="1A"/>
          <w:sz w:val="28"/>
          <w:szCs w:val="28"/>
          <w:lang w:val="en-US"/>
        </w:rPr>
        <w:t>can gain from trade;</w:t>
      </w:r>
    </w:p>
    <w:p>
      <w:pPr>
        <w:numPr>
          <w:ilvl w:val="0"/>
          <w:numId w:val="21"/>
        </w:numPr>
        <w:spacing w:after="0" w:line="240" w:lineRule="auto"/>
        <w:ind w:left="0" w:firstLine="567"/>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Empirical evidence supports trade based on comparative advantage, although transportation costs and other factors prevent complete specialization in production.</w:t>
      </w:r>
    </w:p>
    <w:p>
      <w:pPr>
        <w:spacing w:after="0" w:line="240" w:lineRule="auto"/>
        <w:ind w:firstLine="567"/>
        <w:jc w:val="both"/>
        <w:textAlignment w:val="baseline"/>
        <w:outlineLvl w:val="0"/>
        <w:rPr>
          <w:rFonts w:ascii="Times New Roman" w:hAnsi="Times New Roman" w:eastAsia="Times New Roman"/>
          <w:b/>
          <w:bCs/>
          <w:color w:val="191919" w:themeColor="background1" w:themeShade="1A"/>
          <w:kern w:val="36"/>
          <w:sz w:val="28"/>
          <w:szCs w:val="28"/>
          <w:lang w:val="en-US" w:eastAsia="ru-RU"/>
        </w:rPr>
      </w:pP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Questions:</w:t>
      </w:r>
    </w:p>
    <w:p>
      <w:pPr>
        <w:tabs>
          <w:tab w:val="left" w:pos="426"/>
          <w:tab w:val="left" w:pos="851"/>
        </w:tabs>
        <w:spacing w:after="0" w:line="240" w:lineRule="auto"/>
        <w:jc w:val="both"/>
        <w:rPr>
          <w:rStyle w:val="15"/>
          <w:rFonts w:ascii="Times New Roman" w:hAnsi="Times New Roman" w:cs="Times New Roman"/>
          <w:i w:val="0"/>
          <w:color w:val="191919" w:themeColor="background1" w:themeShade="1A"/>
          <w:sz w:val="28"/>
          <w:szCs w:val="28"/>
          <w:lang w:val="en-US"/>
        </w:rPr>
      </w:pPr>
      <w:r>
        <w:rPr>
          <w:rStyle w:val="15"/>
          <w:rFonts w:ascii="Times New Roman" w:hAnsi="Times New Roman" w:cs="Times New Roman"/>
          <w:i w:val="0"/>
          <w:color w:val="191919" w:themeColor="background1" w:themeShade="1A"/>
          <w:sz w:val="28"/>
          <w:szCs w:val="28"/>
          <w:lang w:val="en-US"/>
        </w:rPr>
        <w:t xml:space="preserve">Can you tell about the Basics of the world trade theory? </w:t>
      </w:r>
    </w:p>
    <w:p>
      <w:pPr>
        <w:tabs>
          <w:tab w:val="left" w:pos="426"/>
          <w:tab w:val="left" w:pos="851"/>
        </w:tabs>
        <w:spacing w:after="0" w:line="240" w:lineRule="auto"/>
        <w:jc w:val="both"/>
        <w:rPr>
          <w:rStyle w:val="15"/>
          <w:rFonts w:ascii="Times New Roman" w:hAnsi="Times New Roman" w:cs="Times New Roman"/>
          <w:i w:val="0"/>
          <w:color w:val="191919" w:themeColor="background1" w:themeShade="1A"/>
          <w:sz w:val="28"/>
          <w:szCs w:val="28"/>
          <w:lang w:val="en-US"/>
        </w:rPr>
      </w:pPr>
      <w:r>
        <w:rPr>
          <w:rStyle w:val="15"/>
          <w:rFonts w:ascii="Times New Roman" w:hAnsi="Times New Roman" w:cs="Times New Roman"/>
          <w:i w:val="0"/>
          <w:color w:val="191919" w:themeColor="background1" w:themeShade="1A"/>
          <w:sz w:val="28"/>
          <w:szCs w:val="28"/>
          <w:lang w:val="en-US"/>
        </w:rPr>
        <w:t>Please, describe the gravity model?</w:t>
      </w:r>
    </w:p>
    <w:p>
      <w:pPr>
        <w:tabs>
          <w:tab w:val="left" w:pos="426"/>
          <w:tab w:val="left" w:pos="851"/>
        </w:tabs>
        <w:spacing w:after="0" w:line="240" w:lineRule="auto"/>
        <w:jc w:val="both"/>
        <w:rPr>
          <w:rStyle w:val="15"/>
          <w:rFonts w:ascii="Times New Roman" w:hAnsi="Times New Roman" w:cs="Times New Roman"/>
          <w:i w:val="0"/>
          <w:color w:val="191919" w:themeColor="background1" w:themeShade="1A"/>
          <w:sz w:val="28"/>
          <w:szCs w:val="28"/>
          <w:lang w:val="en-US"/>
        </w:rPr>
      </w:pPr>
      <w:r>
        <w:rPr>
          <w:rStyle w:val="15"/>
          <w:rFonts w:ascii="Times New Roman" w:hAnsi="Times New Roman" w:cs="Times New Roman"/>
          <w:i w:val="0"/>
          <w:color w:val="191919" w:themeColor="background1" w:themeShade="1A"/>
          <w:sz w:val="28"/>
          <w:szCs w:val="28"/>
          <w:lang w:val="en-US"/>
        </w:rPr>
        <w:t>Please tell about the Labour productivity and Comparative advantage. What does meat it for you?</w:t>
      </w:r>
    </w:p>
    <w:p>
      <w:pPr>
        <w:tabs>
          <w:tab w:val="left" w:pos="426"/>
          <w:tab w:val="left" w:pos="851"/>
        </w:tabs>
        <w:spacing w:after="0" w:line="240" w:lineRule="auto"/>
        <w:jc w:val="both"/>
        <w:rPr>
          <w:rStyle w:val="15"/>
          <w:rFonts w:ascii="Times New Roman" w:hAnsi="Times New Roman" w:cs="Times New Roman"/>
          <w:i w:val="0"/>
          <w:color w:val="191919" w:themeColor="background1" w:themeShade="1A"/>
          <w:sz w:val="28"/>
          <w:szCs w:val="28"/>
          <w:lang w:val="en-US"/>
        </w:rPr>
      </w:pPr>
      <w:r>
        <w:rPr>
          <w:rStyle w:val="15"/>
          <w:rFonts w:ascii="Times New Roman" w:hAnsi="Times New Roman" w:cs="Times New Roman"/>
          <w:i w:val="0"/>
          <w:color w:val="191919" w:themeColor="background1" w:themeShade="1A"/>
          <w:sz w:val="28"/>
          <w:szCs w:val="28"/>
          <w:lang w:val="en-US"/>
        </w:rPr>
        <w:t>Please, describe the Ricardo model. Can you tell about the advantages and disadvantages of this model.</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eastAsia="ru-RU"/>
        </w:rPr>
        <w:t>References:</w:t>
      </w:r>
    </w:p>
    <w:p>
      <w:pPr>
        <w:numPr>
          <w:ilvl w:val="0"/>
          <w:numId w:val="22"/>
        </w:numPr>
        <w:tabs>
          <w:tab w:val="left" w:pos="993"/>
        </w:tabs>
        <w:spacing w:after="0" w:line="240" w:lineRule="auto"/>
        <w:ind w:left="0" w:firstLine="567"/>
        <w:jc w:val="both"/>
        <w:rPr>
          <w:rFonts w:ascii="Times New Roman" w:hAnsi="Times New Roman" w:eastAsia="Times New Roman"/>
          <w:color w:val="191919" w:themeColor="background1" w:themeShade="1A"/>
          <w:sz w:val="28"/>
          <w:szCs w:val="28"/>
          <w:lang w:eastAsia="ru-RU"/>
        </w:rPr>
      </w:pPr>
      <w:r>
        <w:rPr>
          <w:rFonts w:ascii="Times New Roman" w:hAnsi="Times New Roman" w:eastAsia="Times New Roman"/>
          <w:iCs/>
          <w:color w:val="191919" w:themeColor="background1" w:themeShade="1A"/>
          <w:sz w:val="28"/>
          <w:szCs w:val="28"/>
          <w:lang w:val="en-US" w:eastAsia="ru-RU"/>
        </w:rPr>
        <w:t>Samuelson, P. (2016). "A Ricardo-Sraffa Paradigm Comparing Gains from Trade in Inputs and Finished Goods". Journa</w:t>
      </w:r>
      <w:r>
        <w:rPr>
          <w:rFonts w:ascii="Times New Roman" w:hAnsi="Times New Roman" w:eastAsia="Times New Roman"/>
          <w:iCs/>
          <w:color w:val="191919" w:themeColor="background1" w:themeShade="1A"/>
          <w:sz w:val="28"/>
          <w:szCs w:val="28"/>
          <w:lang w:eastAsia="ru-RU"/>
        </w:rPr>
        <w:t>l of Economic Literature. </w:t>
      </w:r>
      <w:r>
        <w:rPr>
          <w:rFonts w:ascii="Times New Roman" w:hAnsi="Times New Roman" w:eastAsia="Times New Roman"/>
          <w:bCs/>
          <w:iCs/>
          <w:color w:val="191919" w:themeColor="background1" w:themeShade="1A"/>
          <w:sz w:val="28"/>
          <w:szCs w:val="28"/>
          <w:lang w:eastAsia="ru-RU"/>
        </w:rPr>
        <w:t>39</w:t>
      </w:r>
      <w:r>
        <w:rPr>
          <w:rFonts w:ascii="Times New Roman" w:hAnsi="Times New Roman" w:eastAsia="Times New Roman"/>
          <w:iCs/>
          <w:color w:val="191919" w:themeColor="background1" w:themeShade="1A"/>
          <w:sz w:val="28"/>
          <w:szCs w:val="28"/>
          <w:lang w:eastAsia="ru-RU"/>
        </w:rPr>
        <w:t> (4): 1204–1214. </w:t>
      </w:r>
      <w:r>
        <w:fldChar w:fldCharType="begin"/>
      </w:r>
      <w:r>
        <w:instrText xml:space="preserve"> HYPERLINK "https://en.wikipedia.org/wiki/Digital_object_identifier" \o "Digital object identifier" </w:instrText>
      </w:r>
      <w:r>
        <w:fldChar w:fldCharType="separate"/>
      </w:r>
      <w:r>
        <w:rPr>
          <w:rFonts w:ascii="Times New Roman" w:hAnsi="Times New Roman" w:eastAsia="Times New Roman"/>
          <w:iCs/>
          <w:color w:val="191919" w:themeColor="background1" w:themeShade="1A"/>
          <w:sz w:val="28"/>
          <w:szCs w:val="28"/>
          <w:lang w:eastAsia="ru-RU"/>
        </w:rPr>
        <w:t>doi</w:t>
      </w:r>
      <w:r>
        <w:rPr>
          <w:rFonts w:ascii="Times New Roman" w:hAnsi="Times New Roman" w:eastAsia="Times New Roman"/>
          <w:iCs/>
          <w:color w:val="191919" w:themeColor="background1" w:themeShade="1A"/>
          <w:sz w:val="28"/>
          <w:szCs w:val="28"/>
          <w:lang w:eastAsia="ru-RU"/>
        </w:rPr>
        <w:fldChar w:fldCharType="end"/>
      </w:r>
      <w:r>
        <w:rPr>
          <w:rFonts w:ascii="Times New Roman" w:hAnsi="Times New Roman" w:eastAsia="Times New Roman"/>
          <w:iCs/>
          <w:color w:val="191919" w:themeColor="background1" w:themeShade="1A"/>
          <w:sz w:val="28"/>
          <w:szCs w:val="28"/>
          <w:lang w:eastAsia="ru-RU"/>
        </w:rPr>
        <w:t>:</w:t>
      </w:r>
      <w:r>
        <w:fldChar w:fldCharType="begin"/>
      </w:r>
      <w:r>
        <w:instrText xml:space="preserve"> HYPERLINK "https://doi.org/10.1257%2Fjel.39.4.1204" </w:instrText>
      </w:r>
      <w:r>
        <w:fldChar w:fldCharType="separate"/>
      </w:r>
      <w:r>
        <w:rPr>
          <w:rFonts w:ascii="Times New Roman" w:hAnsi="Times New Roman" w:eastAsia="Times New Roman"/>
          <w:iCs/>
          <w:color w:val="191919" w:themeColor="background1" w:themeShade="1A"/>
          <w:sz w:val="28"/>
          <w:szCs w:val="28"/>
          <w:lang w:eastAsia="ru-RU"/>
        </w:rPr>
        <w:t>10.1257/jel.39.4.1204</w:t>
      </w:r>
      <w:r>
        <w:rPr>
          <w:rFonts w:ascii="Times New Roman" w:hAnsi="Times New Roman" w:eastAsia="Times New Roman"/>
          <w:iCs/>
          <w:color w:val="191919" w:themeColor="background1" w:themeShade="1A"/>
          <w:sz w:val="28"/>
          <w:szCs w:val="28"/>
          <w:lang w:eastAsia="ru-RU"/>
        </w:rPr>
        <w:fldChar w:fldCharType="end"/>
      </w:r>
      <w:r>
        <w:rPr>
          <w:rFonts w:ascii="Times New Roman" w:hAnsi="Times New Roman" w:eastAsia="Times New Roman"/>
          <w:iCs/>
          <w:color w:val="191919" w:themeColor="background1" w:themeShade="1A"/>
          <w:sz w:val="28"/>
          <w:szCs w:val="28"/>
          <w:lang w:eastAsia="ru-RU"/>
        </w:rPr>
        <w:t>.</w:t>
      </w:r>
    </w:p>
    <w:p>
      <w:pPr>
        <w:numPr>
          <w:ilvl w:val="0"/>
          <w:numId w:val="22"/>
        </w:numPr>
        <w:tabs>
          <w:tab w:val="left" w:pos="993"/>
        </w:tabs>
        <w:spacing w:after="0" w:line="240" w:lineRule="auto"/>
        <w:ind w:left="0" w:firstLine="567"/>
        <w:jc w:val="both"/>
        <w:rPr>
          <w:rFonts w:ascii="Times New Roman" w:hAnsi="Times New Roman" w:eastAsia="Times New Roman"/>
          <w:color w:val="191919" w:themeColor="background1" w:themeShade="1A"/>
          <w:sz w:val="28"/>
          <w:szCs w:val="28"/>
          <w:lang w:eastAsia="ru-RU"/>
        </w:rPr>
      </w:pPr>
      <w:r>
        <w:rPr>
          <w:rFonts w:ascii="Times New Roman" w:hAnsi="Times New Roman" w:eastAsia="Times New Roman"/>
          <w:iCs/>
          <w:color w:val="191919" w:themeColor="background1" w:themeShade="1A"/>
          <w:sz w:val="28"/>
          <w:szCs w:val="28"/>
          <w:lang w:val="en-US" w:eastAsia="ru-RU"/>
        </w:rPr>
        <w:t>Chipman, John S. (1999). "A Survey of the Theory of International Trade: Part 1, The Classical Theory". </w:t>
      </w:r>
      <w:r>
        <w:rPr>
          <w:rFonts w:ascii="Times New Roman" w:hAnsi="Times New Roman" w:eastAsia="Times New Roman"/>
          <w:iCs/>
          <w:color w:val="191919" w:themeColor="background1" w:themeShade="1A"/>
          <w:sz w:val="28"/>
          <w:szCs w:val="28"/>
          <w:lang w:eastAsia="ru-RU"/>
        </w:rPr>
        <w:t>Econometrica. </w:t>
      </w:r>
      <w:r>
        <w:rPr>
          <w:rFonts w:ascii="Times New Roman" w:hAnsi="Times New Roman" w:eastAsia="Times New Roman"/>
          <w:bCs/>
          <w:iCs/>
          <w:color w:val="191919" w:themeColor="background1" w:themeShade="1A"/>
          <w:sz w:val="28"/>
          <w:szCs w:val="28"/>
          <w:lang w:eastAsia="ru-RU"/>
        </w:rPr>
        <w:t>33</w:t>
      </w:r>
      <w:r>
        <w:rPr>
          <w:rFonts w:ascii="Times New Roman" w:hAnsi="Times New Roman" w:eastAsia="Times New Roman"/>
          <w:iCs/>
          <w:color w:val="191919" w:themeColor="background1" w:themeShade="1A"/>
          <w:sz w:val="28"/>
          <w:szCs w:val="28"/>
          <w:lang w:eastAsia="ru-RU"/>
        </w:rPr>
        <w:t> (3):</w:t>
      </w:r>
      <w:r>
        <w:rPr>
          <w:rFonts w:ascii="Times New Roman" w:hAnsi="Times New Roman" w:eastAsia="Times New Roman"/>
          <w:iCs/>
          <w:color w:val="191919" w:themeColor="background1" w:themeShade="1A"/>
          <w:sz w:val="28"/>
          <w:szCs w:val="28"/>
          <w:lang w:val="en-US" w:eastAsia="ru-RU"/>
        </w:rPr>
        <w:t xml:space="preserve"> </w:t>
      </w:r>
      <w:r>
        <w:rPr>
          <w:rFonts w:ascii="Times New Roman" w:hAnsi="Times New Roman" w:eastAsia="Times New Roman"/>
          <w:iCs/>
          <w:color w:val="191919" w:themeColor="background1" w:themeShade="1A"/>
          <w:sz w:val="28"/>
          <w:szCs w:val="28"/>
          <w:lang w:eastAsia="ru-RU"/>
        </w:rPr>
        <w:t>477–519</w:t>
      </w:r>
      <w:r>
        <w:rPr>
          <w:rFonts w:ascii="Times New Roman" w:hAnsi="Times New Roman" w:eastAsia="Times New Roman"/>
          <w:iCs/>
          <w:color w:val="191919" w:themeColor="background1" w:themeShade="1A"/>
          <w:sz w:val="28"/>
          <w:szCs w:val="28"/>
          <w:lang w:val="en-US" w:eastAsia="ru-RU"/>
        </w:rPr>
        <w:t xml:space="preserve"> </w:t>
      </w:r>
      <w:r>
        <w:rPr>
          <w:rFonts w:ascii="Times New Roman" w:hAnsi="Times New Roman" w:eastAsia="Times New Roman"/>
          <w:iCs/>
          <w:color w:val="191919" w:themeColor="background1" w:themeShade="1A"/>
          <w:sz w:val="28"/>
          <w:szCs w:val="28"/>
          <w:lang w:eastAsia="ru-RU"/>
        </w:rPr>
        <w:t>Section 1.8. </w:t>
      </w:r>
      <w:r>
        <w:fldChar w:fldCharType="begin"/>
      </w:r>
      <w:r>
        <w:instrText xml:space="preserve"> HYPERLINK "https://en.wikipedia.org/wiki/Digital_object_identifier" \o "Digital object identifier" </w:instrText>
      </w:r>
      <w:r>
        <w:fldChar w:fldCharType="separate"/>
      </w:r>
      <w:r>
        <w:rPr>
          <w:rFonts w:ascii="Times New Roman" w:hAnsi="Times New Roman" w:eastAsia="Times New Roman"/>
          <w:iCs/>
          <w:color w:val="191919" w:themeColor="background1" w:themeShade="1A"/>
          <w:sz w:val="28"/>
          <w:szCs w:val="28"/>
          <w:lang w:eastAsia="ru-RU"/>
        </w:rPr>
        <w:t>doi</w:t>
      </w:r>
      <w:r>
        <w:rPr>
          <w:rFonts w:ascii="Times New Roman" w:hAnsi="Times New Roman" w:eastAsia="Times New Roman"/>
          <w:iCs/>
          <w:color w:val="191919" w:themeColor="background1" w:themeShade="1A"/>
          <w:sz w:val="28"/>
          <w:szCs w:val="28"/>
          <w:lang w:eastAsia="ru-RU"/>
        </w:rPr>
        <w:fldChar w:fldCharType="end"/>
      </w:r>
      <w:r>
        <w:rPr>
          <w:rFonts w:ascii="Times New Roman" w:hAnsi="Times New Roman" w:eastAsia="Times New Roman"/>
          <w:iCs/>
          <w:color w:val="191919" w:themeColor="background1" w:themeShade="1A"/>
          <w:sz w:val="28"/>
          <w:szCs w:val="28"/>
          <w:lang w:eastAsia="ru-RU"/>
        </w:rPr>
        <w:t>:</w:t>
      </w:r>
      <w:r>
        <w:fldChar w:fldCharType="begin"/>
      </w:r>
      <w:r>
        <w:instrText xml:space="preserve"> HYPERLINK "https://doi.org/10.2307%2F1911748" </w:instrText>
      </w:r>
      <w:r>
        <w:fldChar w:fldCharType="separate"/>
      </w:r>
      <w:r>
        <w:rPr>
          <w:rFonts w:ascii="Times New Roman" w:hAnsi="Times New Roman" w:eastAsia="Times New Roman"/>
          <w:iCs/>
          <w:color w:val="191919" w:themeColor="background1" w:themeShade="1A"/>
          <w:sz w:val="28"/>
          <w:szCs w:val="28"/>
          <w:lang w:eastAsia="ru-RU"/>
        </w:rPr>
        <w:t>10.2307/1911748</w:t>
      </w:r>
      <w:r>
        <w:rPr>
          <w:rFonts w:ascii="Times New Roman" w:hAnsi="Times New Roman" w:eastAsia="Times New Roman"/>
          <w:iCs/>
          <w:color w:val="191919" w:themeColor="background1" w:themeShade="1A"/>
          <w:sz w:val="28"/>
          <w:szCs w:val="28"/>
          <w:lang w:eastAsia="ru-RU"/>
        </w:rPr>
        <w:fldChar w:fldCharType="end"/>
      </w:r>
      <w:r>
        <w:rPr>
          <w:rFonts w:ascii="Times New Roman" w:hAnsi="Times New Roman" w:eastAsia="Times New Roman"/>
          <w:iCs/>
          <w:color w:val="191919" w:themeColor="background1" w:themeShade="1A"/>
          <w:sz w:val="28"/>
          <w:szCs w:val="28"/>
          <w:lang w:eastAsia="ru-RU"/>
        </w:rPr>
        <w:t>.</w:t>
      </w:r>
    </w:p>
    <w:p>
      <w:pPr>
        <w:numPr>
          <w:ilvl w:val="0"/>
          <w:numId w:val="22"/>
        </w:numPr>
        <w:tabs>
          <w:tab w:val="left" w:pos="993"/>
        </w:tabs>
        <w:spacing w:after="0" w:line="240" w:lineRule="auto"/>
        <w:ind w:left="0" w:firstLine="567"/>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 </w:t>
      </w:r>
      <w:r>
        <w:fldChar w:fldCharType="begin"/>
      </w:r>
      <w:r>
        <w:instrText xml:space="preserve"> HYPERLINK "http://www.imf.org/external/pubs/ft/weo/2017/01/weodata/weorept.aspx?pr.x=54&amp;pr.y=16&amp;sy=2013&amp;ey=2020&amp;scsm=1&amp;sort=country&amp;ds=.&amp;br=1&amp;c=512%2C668%2C914%2C672%2C612%2C946%2C614%2C137%2C311%2C962%2C213%2C674%2C911%2C676%2C193%2C548%2C122%2C556%2C912%2C678%2C313%2C181%2C419%2C867%2C513%2C682%2C316%2C684%2C913%2C273%2C124%2C868%2C339%2C921%2C638%2C948%2C514%2C943%2C218%2C686%2C963%2C688%2C616%2C518%2C223%2C728%2C516%2C558%2C918%2C138%2C748%2C196%2C618%2C278%2C624%2C692%2C522%2C694%2C622%2C142%2C156%2C449%2C626%2C564%2C628%2C565%2C228%2C283%2C924%2C853%2C233%2C288%2C632%2C293%2C636%2C566%2C634%2C964%2C238%2C182%2C662%2C453%2C960%2C968%2C423%2C922%2C935%2C714%2C128%2C862%2C611%2C135%2C321%2C716%2C243%2C456%2C248%2C722%2C469%2C942%2C253%2C718%2C642%2C724%2C643%2C576%2C939%2C936%2C644%2C961%2C819%2C813%2C172%2C199%2C132%2C733%2C646%2C184%2C648%2C524%2C915%2C361%2C134%2C362%2C652%2C364%2C174%2C732%2C328%2C366%2C258%2C734%2C656%2C144%2C654%2C146%2C336%2C463%2C263%2C528%2C268%2C923%2C532%2C738%2C944%2C578%2C176%2C537%2C534%2C742%2C536%2C866%2C429%2C369%2C433%2C744%2C178%2C186%2C436%2C925%2C136%2C869%2C343%2C746%2C158%2C926%2C439%2C466%2C916%2C112%2C664%2C111%2C826%2C298%2C542%2C927%2C967%2C846%2C443%2C299%2C917%2C582%2C544%2C474%2C941%2C754%2C446%2C698%2C666&amp;s=PPPGDP&amp;grp=0&amp;a=" </w:instrText>
      </w:r>
      <w:r>
        <w:fldChar w:fldCharType="separate"/>
      </w:r>
      <w:r>
        <w:rPr>
          <w:rStyle w:val="13"/>
          <w:rFonts w:ascii="Times New Roman" w:hAnsi="Times New Roman"/>
          <w:iCs/>
          <w:color w:val="191919" w:themeColor="background1" w:themeShade="1A"/>
          <w:sz w:val="28"/>
          <w:szCs w:val="28"/>
          <w:lang w:val="en-US"/>
        </w:rPr>
        <w:t>"Gross domestic product based on purchasing-power-parity (PPP) valuation of country GDP; Current international dollar"</w:t>
      </w:r>
      <w:r>
        <w:rPr>
          <w:rStyle w:val="13"/>
          <w:rFonts w:ascii="Times New Roman" w:hAnsi="Times New Roman"/>
          <w:iCs/>
          <w:color w:val="191919" w:themeColor="background1" w:themeShade="1A"/>
          <w:sz w:val="28"/>
          <w:szCs w:val="28"/>
          <w:lang w:val="en-US"/>
        </w:rPr>
        <w:fldChar w:fldCharType="end"/>
      </w:r>
      <w:r>
        <w:rPr>
          <w:rStyle w:val="15"/>
          <w:rFonts w:ascii="Times New Roman" w:hAnsi="Times New Roman"/>
          <w:i w:val="0"/>
          <w:color w:val="191919" w:themeColor="background1" w:themeShade="1A"/>
          <w:sz w:val="28"/>
          <w:szCs w:val="28"/>
          <w:lang w:val="en-US"/>
        </w:rPr>
        <w:t>. International Monetary Fund. April 2017</w:t>
      </w:r>
      <w:r>
        <w:rPr>
          <w:rStyle w:val="26"/>
          <w:rFonts w:ascii="Times New Roman" w:hAnsi="Times New Roman"/>
          <w:iCs/>
          <w:color w:val="191919" w:themeColor="background1" w:themeShade="1A"/>
          <w:sz w:val="28"/>
          <w:szCs w:val="28"/>
          <w:lang w:val="en-US"/>
        </w:rPr>
        <w:t>. Retrieved </w:t>
      </w:r>
      <w:r>
        <w:rPr>
          <w:rStyle w:val="24"/>
          <w:rFonts w:ascii="Times New Roman" w:hAnsi="Times New Roman"/>
          <w:iCs/>
          <w:color w:val="191919" w:themeColor="background1" w:themeShade="1A"/>
          <w:sz w:val="28"/>
          <w:szCs w:val="28"/>
          <w:lang w:val="en-US"/>
        </w:rPr>
        <w:t>14 May</w:t>
      </w:r>
      <w:r>
        <w:rPr>
          <w:rStyle w:val="26"/>
          <w:rFonts w:ascii="Times New Roman" w:hAnsi="Times New Roman"/>
          <w:iCs/>
          <w:color w:val="191919" w:themeColor="background1" w:themeShade="1A"/>
          <w:sz w:val="28"/>
          <w:szCs w:val="28"/>
          <w:lang w:val="en-US"/>
        </w:rPr>
        <w:t> 2017</w:t>
      </w:r>
      <w:r>
        <w:rPr>
          <w:rStyle w:val="15"/>
          <w:rFonts w:ascii="Times New Roman" w:hAnsi="Times New Roman"/>
          <w:i w:val="0"/>
          <w:color w:val="191919" w:themeColor="background1" w:themeShade="1A"/>
          <w:sz w:val="28"/>
          <w:szCs w:val="28"/>
          <w:lang w:val="en-US"/>
        </w:rPr>
        <w:t>.</w:t>
      </w:r>
    </w:p>
    <w:p>
      <w:pPr>
        <w:numPr>
          <w:ilvl w:val="0"/>
          <w:numId w:val="22"/>
        </w:numPr>
        <w:tabs>
          <w:tab w:val="left" w:pos="993"/>
        </w:tabs>
        <w:spacing w:after="0" w:line="240" w:lineRule="auto"/>
        <w:ind w:left="0" w:firstLine="567"/>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 </w:t>
      </w:r>
      <w:r>
        <w:fldChar w:fldCharType="begin"/>
      </w:r>
      <w:r>
        <w:instrText xml:space="preserve"> HYPERLINK "https://www.cia.gov/library/publications/the-world-factbook/fields/2001.html" </w:instrText>
      </w:r>
      <w:r>
        <w:fldChar w:fldCharType="separate"/>
      </w:r>
      <w:r>
        <w:rPr>
          <w:rStyle w:val="13"/>
          <w:rFonts w:ascii="Times New Roman" w:hAnsi="Times New Roman"/>
          <w:iCs/>
          <w:color w:val="191919" w:themeColor="background1" w:themeShade="1A"/>
          <w:sz w:val="28"/>
          <w:szCs w:val="28"/>
          <w:lang w:val="en-US"/>
        </w:rPr>
        <w:t>"GDP (PURCHASING POWER PARITY)"</w:t>
      </w:r>
      <w:r>
        <w:rPr>
          <w:rStyle w:val="13"/>
          <w:rFonts w:ascii="Times New Roman" w:hAnsi="Times New Roman"/>
          <w:iCs/>
          <w:color w:val="191919" w:themeColor="background1" w:themeShade="1A"/>
          <w:sz w:val="28"/>
          <w:szCs w:val="28"/>
          <w:lang w:val="en-US"/>
        </w:rPr>
        <w:fldChar w:fldCharType="end"/>
      </w:r>
      <w:r>
        <w:rPr>
          <w:rStyle w:val="15"/>
          <w:rFonts w:ascii="Times New Roman" w:hAnsi="Times New Roman"/>
          <w:i w:val="0"/>
          <w:color w:val="191919" w:themeColor="background1" w:themeShade="1A"/>
          <w:sz w:val="28"/>
          <w:szCs w:val="28"/>
          <w:lang w:val="en-US"/>
        </w:rPr>
        <w:t>. CIA World Factbook. CIA World Factbook. 2016</w:t>
      </w:r>
      <w:r>
        <w:rPr>
          <w:rStyle w:val="26"/>
          <w:rFonts w:ascii="Times New Roman" w:hAnsi="Times New Roman"/>
          <w:iCs/>
          <w:color w:val="191919" w:themeColor="background1" w:themeShade="1A"/>
          <w:sz w:val="28"/>
          <w:szCs w:val="28"/>
          <w:lang w:val="en-US"/>
        </w:rPr>
        <w:t>. Retrieved </w:t>
      </w:r>
      <w:r>
        <w:rPr>
          <w:rStyle w:val="24"/>
          <w:rFonts w:ascii="Times New Roman" w:hAnsi="Times New Roman"/>
          <w:iCs/>
          <w:color w:val="191919" w:themeColor="background1" w:themeShade="1A"/>
          <w:sz w:val="28"/>
          <w:szCs w:val="28"/>
          <w:lang w:val="en-US"/>
        </w:rPr>
        <w:t>October 7,</w:t>
      </w:r>
      <w:r>
        <w:rPr>
          <w:rStyle w:val="26"/>
          <w:rFonts w:ascii="Times New Roman" w:hAnsi="Times New Roman"/>
          <w:iCs/>
          <w:color w:val="191919" w:themeColor="background1" w:themeShade="1A"/>
          <w:sz w:val="28"/>
          <w:szCs w:val="28"/>
          <w:lang w:val="en-US"/>
        </w:rPr>
        <w:t> 2016</w:t>
      </w:r>
      <w:r>
        <w:rPr>
          <w:rStyle w:val="15"/>
          <w:rFonts w:ascii="Times New Roman" w:hAnsi="Times New Roman"/>
          <w:i w:val="0"/>
          <w:color w:val="191919" w:themeColor="background1" w:themeShade="1A"/>
          <w:sz w:val="28"/>
          <w:szCs w:val="28"/>
          <w:lang w:val="en-US"/>
        </w:rPr>
        <w:t>.</w:t>
      </w:r>
    </w:p>
    <w:p>
      <w:pPr>
        <w:numPr>
          <w:ilvl w:val="0"/>
          <w:numId w:val="22"/>
        </w:numPr>
        <w:tabs>
          <w:tab w:val="left" w:pos="993"/>
        </w:tabs>
        <w:spacing w:after="0" w:line="240" w:lineRule="auto"/>
        <w:ind w:left="0" w:firstLine="567"/>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 </w:t>
      </w:r>
      <w:r>
        <w:fldChar w:fldCharType="begin"/>
      </w:r>
      <w:r>
        <w:instrText xml:space="preserve"> HYPERLINK "http://www.imf.org/external/pubs/ft/weo/2009/01/index.htm" </w:instrText>
      </w:r>
      <w:r>
        <w:fldChar w:fldCharType="separate"/>
      </w:r>
      <w:r>
        <w:rPr>
          <w:rStyle w:val="13"/>
          <w:rFonts w:ascii="Times New Roman" w:hAnsi="Times New Roman"/>
          <w:iCs/>
          <w:color w:val="191919" w:themeColor="background1" w:themeShade="1A"/>
          <w:sz w:val="28"/>
          <w:szCs w:val="28"/>
          <w:lang w:val="en-US"/>
        </w:rPr>
        <w:t>"IMF World Economic Outlook, Crisis and Recovery, April 2017"</w:t>
      </w:r>
      <w:r>
        <w:rPr>
          <w:rStyle w:val="13"/>
          <w:rFonts w:ascii="Times New Roman" w:hAnsi="Times New Roman"/>
          <w:iCs/>
          <w:color w:val="191919" w:themeColor="background1" w:themeShade="1A"/>
          <w:sz w:val="28"/>
          <w:szCs w:val="28"/>
          <w:lang w:val="en-US"/>
        </w:rPr>
        <w:fldChar w:fldCharType="end"/>
      </w:r>
      <w:r>
        <w:rPr>
          <w:rStyle w:val="15"/>
          <w:rFonts w:ascii="Times New Roman" w:hAnsi="Times New Roman"/>
          <w:i w:val="0"/>
          <w:color w:val="191919" w:themeColor="background1" w:themeShade="1A"/>
          <w:sz w:val="28"/>
          <w:szCs w:val="28"/>
          <w:lang w:val="en-US"/>
        </w:rPr>
        <w:t>. Imf.org. 2017-04-16</w:t>
      </w:r>
      <w:r>
        <w:rPr>
          <w:rStyle w:val="26"/>
          <w:rFonts w:ascii="Times New Roman" w:hAnsi="Times New Roman"/>
          <w:iCs/>
          <w:color w:val="191919" w:themeColor="background1" w:themeShade="1A"/>
          <w:sz w:val="28"/>
          <w:szCs w:val="28"/>
          <w:lang w:val="en-US"/>
        </w:rPr>
        <w:t>. Retrieved </w:t>
      </w:r>
      <w:r>
        <w:rPr>
          <w:rStyle w:val="24"/>
          <w:rFonts w:ascii="Times New Roman" w:hAnsi="Times New Roman"/>
          <w:iCs/>
          <w:color w:val="191919" w:themeColor="background1" w:themeShade="1A"/>
          <w:sz w:val="28"/>
          <w:szCs w:val="28"/>
          <w:lang w:val="en-US"/>
        </w:rPr>
        <w:t>2017-07-17</w:t>
      </w:r>
      <w:r>
        <w:rPr>
          <w:rStyle w:val="15"/>
          <w:rFonts w:ascii="Times New Roman" w:hAnsi="Times New Roman"/>
          <w:i w:val="0"/>
          <w:color w:val="191919" w:themeColor="background1" w:themeShade="1A"/>
          <w:sz w:val="28"/>
          <w:szCs w:val="28"/>
          <w:lang w:val="en-US"/>
        </w:rPr>
        <w:t>.</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pStyle w:val="19"/>
        <w:jc w:val="both"/>
        <w:rPr>
          <w:color w:val="191919" w:themeColor="background1" w:themeShade="1A"/>
          <w:sz w:val="28"/>
          <w:szCs w:val="28"/>
          <w:lang w:val="en-US"/>
        </w:rPr>
      </w:pPr>
      <w:r>
        <w:rPr>
          <w:b/>
          <w:color w:val="191919" w:themeColor="background1" w:themeShade="1A"/>
          <w:sz w:val="28"/>
          <w:szCs w:val="28"/>
          <w:lang w:val="en-US"/>
        </w:rPr>
        <w:t xml:space="preserve">Subject 5. </w:t>
      </w:r>
      <w:r>
        <w:rPr>
          <w:b/>
          <w:bCs/>
          <w:color w:val="191919" w:themeColor="background1" w:themeShade="1A"/>
          <w:sz w:val="28"/>
          <w:szCs w:val="28"/>
          <w:lang w:val="en-US"/>
        </w:rPr>
        <w:t xml:space="preserve">Trade policy instruments. Tariffs and Non-Tariff Barriers to Trade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Economics of Tariffs.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Economics of Quotas.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Protectionism and Imperfect Competition. </w:t>
      </w:r>
    </w:p>
    <w:p>
      <w:pPr>
        <w:pStyle w:val="19"/>
        <w:jc w:val="both"/>
        <w:rPr>
          <w:color w:val="191919" w:themeColor="background1" w:themeShade="1A"/>
          <w:sz w:val="28"/>
          <w:szCs w:val="28"/>
          <w:lang w:val="en-US"/>
        </w:rPr>
      </w:pPr>
    </w:p>
    <w:p>
      <w:pPr>
        <w:spacing w:after="0" w:line="240" w:lineRule="auto"/>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1.Economics of Tariffs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 tariff is a type of trade barrier imposed by a government that acts as a tax on imports. The tariff may be in the form of a </w:t>
      </w:r>
      <w:r>
        <w:fldChar w:fldCharType="begin"/>
      </w:r>
      <w:r>
        <w:instrText xml:space="preserve"> HYPERLINK "http://www.intelligenteconomist.com/indirect-taxes/" \o "Indirect Taxes" </w:instrText>
      </w:r>
      <w:r>
        <w:fldChar w:fldCharType="separate"/>
      </w:r>
      <w:r>
        <w:rPr>
          <w:rFonts w:ascii="Times New Roman" w:hAnsi="Times New Roman" w:eastAsia="Times New Roman" w:cs="Times New Roman"/>
          <w:color w:val="191919" w:themeColor="background1" w:themeShade="1A"/>
          <w:sz w:val="28"/>
          <w:szCs w:val="28"/>
          <w:lang w:val="en-US" w:eastAsia="ru-RU"/>
        </w:rPr>
        <w:t>specific or ad valorem</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tax. Tariffs raise the price of the imported good to lowers its consumption. Tariffs encourage consumers to pick the local option.</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 specific tax is imposed on each unit, i.e., $0.50 on a pack of cigarettes, while an ad valorem tax (or percentage tax) is a percentage of the price like a sales tax of 10%.</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Generally speaking, most tariffs are a percentage of the value of the product. You can look up tariffs by product name at the United States International Trade Commissions </w:t>
      </w:r>
      <w:r>
        <w:fldChar w:fldCharType="begin"/>
      </w:r>
      <w:r>
        <w:instrText xml:space="preserve"> HYPERLINK "https://hts.usitc.gov/" </w:instrText>
      </w:r>
      <w:r>
        <w:fldChar w:fldCharType="separate"/>
      </w:r>
      <w:r>
        <w:rPr>
          <w:rFonts w:ascii="Times New Roman" w:hAnsi="Times New Roman" w:eastAsia="Times New Roman" w:cs="Times New Roman"/>
          <w:color w:val="191919" w:themeColor="background1" w:themeShade="1A"/>
          <w:sz w:val="28"/>
          <w:szCs w:val="28"/>
          <w:lang w:val="en-US" w:eastAsia="ru-RU"/>
        </w:rPr>
        <w:t>website</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The rates are broken down by the components and sizes of specific parts as well.</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For example, the general tariff rate on an imported microwave oven is </w:t>
      </w:r>
      <w:r>
        <w:fldChar w:fldCharType="begin"/>
      </w:r>
      <w:r>
        <w:instrText xml:space="preserve"> HYPERLINK "https://hts.usitc.gov/?query=microwave" </w:instrText>
      </w:r>
      <w:r>
        <w:fldChar w:fldCharType="separate"/>
      </w:r>
      <w:r>
        <w:rPr>
          <w:rFonts w:ascii="Times New Roman" w:hAnsi="Times New Roman" w:eastAsia="Times New Roman" w:cs="Times New Roman"/>
          <w:color w:val="191919" w:themeColor="background1" w:themeShade="1A"/>
          <w:sz w:val="28"/>
          <w:szCs w:val="28"/>
          <w:lang w:val="en-US" w:eastAsia="ru-RU"/>
        </w:rPr>
        <w:t>2%</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Governments impose tariffs to discourage consumers from buying imported products by simply making them more expensive to purchase.</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In the diagram below, you can see a Local Demand and Local Supply curve. The imported goods are demoted by the World Supply curve. The World Supply curve is flat because it is assumed that the supply is infinite, in the sense that the world can infinitely supply this product to this one country.</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ind w:firstLine="567"/>
        <w:jc w:val="center"/>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color w:val="191919" w:themeColor="background1" w:themeShade="1A"/>
          <w:sz w:val="28"/>
          <w:szCs w:val="28"/>
          <w:lang w:eastAsia="ru-RU"/>
        </w:rPr>
        <w:drawing>
          <wp:inline distT="0" distB="0" distL="0" distR="0">
            <wp:extent cx="3419475" cy="2734310"/>
            <wp:effectExtent l="0" t="0" r="0" b="8890"/>
            <wp:docPr id="5" name="Рисунок 1" descr="Effect of Tarif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 descr="Effect of Tariff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7284" cy="2741157"/>
                    </a:xfrm>
                    <a:prstGeom prst="rect">
                      <a:avLst/>
                    </a:prstGeom>
                    <a:noFill/>
                    <a:ln>
                      <a:noFill/>
                    </a:ln>
                  </pic:spPr>
                </pic:pic>
              </a:graphicData>
            </a:graphic>
          </wp:inline>
        </w:drawing>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eastAsia="ru-RU"/>
        </w:rPr>
      </w:pP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world price is P2 and at price P2, domestic consumption is QD1 and production is QS1. This point is the intersection of the world supply curve and the local demand and local supply curve. The quantity that is imported is the difference between QD1 and QS1.</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With the tariff, the price becomes P1 (The intersection of the World Supply with Tax and the local demand and local supply curves). Domestic consumption decreases to QD2 and domestic production increases to QS2. The difference between QD2 and QS2 is the amount that is imported.</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difference between the two imported quantities is the change in quantity with the tariff. As we can see, the economy consumes more of the local good, and less is imported.</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Consumer Surplus </w:t>
      </w:r>
      <w:r>
        <w:rPr>
          <w:rFonts w:ascii="Times New Roman" w:hAnsi="Times New Roman" w:eastAsia="Times New Roman" w:cs="Times New Roman"/>
          <w:color w:val="191919" w:themeColor="background1" w:themeShade="1A"/>
          <w:sz w:val="28"/>
          <w:szCs w:val="28"/>
          <w:lang w:val="en-US" w:eastAsia="ru-RU"/>
        </w:rPr>
        <w:t> – decreases by area 1, 2, 3, 4</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Producer Surplus – </w:t>
      </w:r>
      <w:r>
        <w:rPr>
          <w:rFonts w:ascii="Times New Roman" w:hAnsi="Times New Roman" w:eastAsia="Times New Roman" w:cs="Times New Roman"/>
          <w:color w:val="191919" w:themeColor="background1" w:themeShade="1A"/>
          <w:sz w:val="28"/>
          <w:szCs w:val="28"/>
          <w:lang w:val="en-US" w:eastAsia="ru-RU"/>
        </w:rPr>
        <w:t>increases by area 1</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Government Revenue – </w:t>
      </w:r>
      <w:r>
        <w:rPr>
          <w:rFonts w:ascii="Times New Roman" w:hAnsi="Times New Roman" w:eastAsia="Times New Roman" w:cs="Times New Roman"/>
          <w:color w:val="191919" w:themeColor="background1" w:themeShade="1A"/>
          <w:sz w:val="28"/>
          <w:szCs w:val="28"/>
          <w:lang w:val="en-US" w:eastAsia="ru-RU"/>
        </w:rPr>
        <w:t>area 3</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Therefore, the welfare loss is area 2 and 4 that comes from production inefficiency (since it costs the domestic company more to produce than the foreign firm) and consumption inefficiency (units aren’t consumed because of the increase in price) respectively.</w:t>
      </w:r>
    </w:p>
    <w:p>
      <w:pPr>
        <w:pStyle w:val="4"/>
        <w:shd w:val="clear" w:color="auto" w:fill="FFFFFF"/>
        <w:jc w:val="both"/>
        <w:rPr>
          <w:rFonts w:ascii="Times New Roman" w:hAnsi="Times New Roman" w:cs="Times New Roman"/>
          <w:i/>
          <w:color w:val="191919" w:themeColor="background1" w:themeShade="1A"/>
          <w:sz w:val="28"/>
          <w:szCs w:val="28"/>
          <w:lang w:val="en-US"/>
        </w:rPr>
      </w:pPr>
      <w:r>
        <w:rPr>
          <w:rStyle w:val="29"/>
          <w:rFonts w:ascii="Times New Roman" w:hAnsi="Times New Roman" w:cs="Times New Roman"/>
          <w:b/>
          <w:bCs/>
          <w:i/>
          <w:color w:val="191919" w:themeColor="background1" w:themeShade="1A"/>
          <w:sz w:val="28"/>
          <w:szCs w:val="28"/>
          <w:lang w:val="en-US"/>
        </w:rPr>
        <w:t>Types of Tariffs and Trade Barriers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There are several types of tariffs and barriers that a government can employ:</w:t>
      </w:r>
    </w:p>
    <w:p>
      <w:pPr>
        <w:numPr>
          <w:ilvl w:val="0"/>
          <w:numId w:val="23"/>
        </w:numPr>
        <w:shd w:val="clear" w:color="auto" w:fill="FFFFFF"/>
        <w:tabs>
          <w:tab w:val="left" w:pos="142"/>
          <w:tab w:val="clear" w:pos="720"/>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Specific tariffs</w:t>
      </w:r>
    </w:p>
    <w:p>
      <w:pPr>
        <w:numPr>
          <w:ilvl w:val="0"/>
          <w:numId w:val="23"/>
        </w:numPr>
        <w:shd w:val="clear" w:color="auto" w:fill="FFFFFF"/>
        <w:tabs>
          <w:tab w:val="left" w:pos="142"/>
          <w:tab w:val="clear" w:pos="720"/>
        </w:tabs>
        <w:spacing w:after="0" w:line="240" w:lineRule="auto"/>
        <w:ind w:left="0" w:firstLine="0"/>
        <w:jc w:val="both"/>
        <w:rPr>
          <w:rFonts w:ascii="Times New Roman" w:hAnsi="Times New Roman" w:cs="Times New Roman"/>
          <w:color w:val="191919" w:themeColor="background1" w:themeShade="1A"/>
          <w:sz w:val="28"/>
          <w:szCs w:val="28"/>
        </w:rPr>
      </w:pPr>
      <w:r>
        <w:fldChar w:fldCharType="begin"/>
      </w:r>
      <w:r>
        <w:instrText xml:space="preserve"> HYPERLINK "https://www.investopedia.com/terms/a/advaloremtax.asp" </w:instrText>
      </w:r>
      <w:r>
        <w:fldChar w:fldCharType="separate"/>
      </w:r>
      <w:r>
        <w:rPr>
          <w:rStyle w:val="13"/>
          <w:rFonts w:ascii="Times New Roman" w:hAnsi="Times New Roman" w:cs="Times New Roman"/>
          <w:color w:val="191919" w:themeColor="background1" w:themeShade="1A"/>
          <w:sz w:val="28"/>
          <w:szCs w:val="28"/>
          <w:u w:val="none"/>
        </w:rPr>
        <w:t>Ad valorem tariffs</w:t>
      </w:r>
      <w:r>
        <w:rPr>
          <w:rStyle w:val="13"/>
          <w:rFonts w:ascii="Times New Roman" w:hAnsi="Times New Roman" w:cs="Times New Roman"/>
          <w:color w:val="191919" w:themeColor="background1" w:themeShade="1A"/>
          <w:sz w:val="28"/>
          <w:szCs w:val="28"/>
          <w:u w:val="none"/>
        </w:rPr>
        <w:fldChar w:fldCharType="end"/>
      </w:r>
    </w:p>
    <w:p>
      <w:pPr>
        <w:numPr>
          <w:ilvl w:val="0"/>
          <w:numId w:val="23"/>
        </w:numPr>
        <w:shd w:val="clear" w:color="auto" w:fill="FFFFFF"/>
        <w:tabs>
          <w:tab w:val="left" w:pos="142"/>
          <w:tab w:val="clear" w:pos="720"/>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Licenses</w:t>
      </w:r>
    </w:p>
    <w:p>
      <w:pPr>
        <w:numPr>
          <w:ilvl w:val="0"/>
          <w:numId w:val="23"/>
        </w:numPr>
        <w:shd w:val="clear" w:color="auto" w:fill="FFFFFF"/>
        <w:tabs>
          <w:tab w:val="left" w:pos="142"/>
          <w:tab w:val="clear" w:pos="720"/>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Import quotas</w:t>
      </w:r>
    </w:p>
    <w:p>
      <w:pPr>
        <w:numPr>
          <w:ilvl w:val="0"/>
          <w:numId w:val="23"/>
        </w:numPr>
        <w:shd w:val="clear" w:color="auto" w:fill="FFFFFF"/>
        <w:tabs>
          <w:tab w:val="left" w:pos="142"/>
          <w:tab w:val="clear" w:pos="720"/>
        </w:tabs>
        <w:spacing w:after="0" w:line="240" w:lineRule="auto"/>
        <w:ind w:left="0" w:firstLine="0"/>
        <w:jc w:val="both"/>
        <w:rPr>
          <w:rFonts w:ascii="Times New Roman" w:hAnsi="Times New Roman" w:cs="Times New Roman"/>
          <w:color w:val="191919" w:themeColor="background1" w:themeShade="1A"/>
          <w:sz w:val="28"/>
          <w:szCs w:val="28"/>
        </w:rPr>
      </w:pPr>
      <w:r>
        <w:fldChar w:fldCharType="begin"/>
      </w:r>
      <w:r>
        <w:instrText xml:space="preserve"> HYPERLINK "https://www.investopedia.com/terms/v/voluntary_export_restraint.asp" </w:instrText>
      </w:r>
      <w:r>
        <w:fldChar w:fldCharType="separate"/>
      </w:r>
      <w:r>
        <w:rPr>
          <w:rStyle w:val="13"/>
          <w:rFonts w:ascii="Times New Roman" w:hAnsi="Times New Roman" w:cs="Times New Roman"/>
          <w:color w:val="191919" w:themeColor="background1" w:themeShade="1A"/>
          <w:sz w:val="28"/>
          <w:szCs w:val="28"/>
          <w:u w:val="none"/>
        </w:rPr>
        <w:t>Voluntary export restraints</w:t>
      </w:r>
      <w:r>
        <w:rPr>
          <w:rStyle w:val="13"/>
          <w:rFonts w:ascii="Times New Roman" w:hAnsi="Times New Roman" w:cs="Times New Roman"/>
          <w:color w:val="191919" w:themeColor="background1" w:themeShade="1A"/>
          <w:sz w:val="28"/>
          <w:szCs w:val="28"/>
          <w:u w:val="none"/>
        </w:rPr>
        <w:fldChar w:fldCharType="end"/>
      </w:r>
    </w:p>
    <w:p>
      <w:pPr>
        <w:numPr>
          <w:ilvl w:val="0"/>
          <w:numId w:val="23"/>
        </w:numPr>
        <w:shd w:val="clear" w:color="auto" w:fill="FFFFFF"/>
        <w:tabs>
          <w:tab w:val="left" w:pos="142"/>
          <w:tab w:val="clear" w:pos="720"/>
        </w:tabs>
        <w:spacing w:after="0" w:line="240" w:lineRule="auto"/>
        <w:ind w:left="0" w:firstLine="0"/>
        <w:jc w:val="both"/>
        <w:rPr>
          <w:rFonts w:ascii="Times New Roman" w:hAnsi="Times New Roman" w:cs="Times New Roman"/>
          <w:color w:val="191919" w:themeColor="background1" w:themeShade="1A"/>
          <w:sz w:val="28"/>
          <w:szCs w:val="28"/>
        </w:rPr>
      </w:pPr>
      <w:r>
        <w:rPr>
          <w:rFonts w:ascii="Times New Roman" w:hAnsi="Times New Roman" w:cs="Times New Roman"/>
          <w:color w:val="191919" w:themeColor="background1" w:themeShade="1A"/>
          <w:sz w:val="28"/>
          <w:szCs w:val="28"/>
        </w:rPr>
        <w:t>Local content requirements</w:t>
      </w:r>
    </w:p>
    <w:p>
      <w:pPr>
        <w:pStyle w:val="10"/>
        <w:shd w:val="clear" w:color="auto" w:fill="FFFFFF"/>
        <w:spacing w:before="0" w:beforeAutospacing="0" w:after="0" w:afterAutospacing="0"/>
        <w:jc w:val="both"/>
        <w:rPr>
          <w:color w:val="191919" w:themeColor="background1" w:themeShade="1A"/>
          <w:sz w:val="28"/>
          <w:szCs w:val="28"/>
        </w:rPr>
      </w:pPr>
      <w:r>
        <w:rPr>
          <w:rStyle w:val="12"/>
          <w:rFonts w:eastAsiaTheme="minorEastAsia"/>
          <w:b/>
          <w:bCs/>
          <w:color w:val="191919" w:themeColor="background1" w:themeShade="1A"/>
          <w:sz w:val="28"/>
          <w:szCs w:val="28"/>
        </w:rPr>
        <w:t>Specific Tariffs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fixed fee levied on one unit of an imported good is referred to as a specific tariff. This tariff can vary according to the type of good imported. For example, a country could levy a $15 tariff on each pair of shoes imported, but levy a $300 tariff on each computer imported.</w:t>
      </w:r>
    </w:p>
    <w:p>
      <w:pPr>
        <w:pStyle w:val="10"/>
        <w:shd w:val="clear" w:color="auto" w:fill="FFFFFF"/>
        <w:spacing w:before="0" w:beforeAutospacing="0" w:after="0" w:afterAutospacing="0"/>
        <w:jc w:val="both"/>
        <w:rPr>
          <w:color w:val="191919" w:themeColor="background1" w:themeShade="1A"/>
          <w:sz w:val="28"/>
          <w:szCs w:val="28"/>
          <w:lang w:val="en-US"/>
        </w:rPr>
      </w:pPr>
      <w:r>
        <w:rPr>
          <w:rStyle w:val="12"/>
          <w:rFonts w:eastAsiaTheme="minorEastAsia"/>
          <w:b/>
          <w:bCs/>
          <w:color w:val="191919" w:themeColor="background1" w:themeShade="1A"/>
          <w:sz w:val="28"/>
          <w:szCs w:val="28"/>
          <w:lang w:val="en-US"/>
        </w:rPr>
        <w:t>Ad Valorem Tariffs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phrase </w:t>
      </w:r>
      <w:r>
        <w:rPr>
          <w:rStyle w:val="12"/>
          <w:rFonts w:eastAsiaTheme="minorEastAsia"/>
          <w:color w:val="191919" w:themeColor="background1" w:themeShade="1A"/>
          <w:sz w:val="28"/>
          <w:szCs w:val="28"/>
          <w:lang w:val="en-US"/>
        </w:rPr>
        <w:t>ad valorem</w:t>
      </w:r>
      <w:r>
        <w:rPr>
          <w:color w:val="191919" w:themeColor="background1" w:themeShade="1A"/>
          <w:sz w:val="28"/>
          <w:szCs w:val="28"/>
          <w:lang w:val="en-US"/>
        </w:rPr>
        <w:t> is Latin for "according to value," and this type of tariff is levied on a good based on a percentage of that good's value. An example of an ad valorem tariff would be a 15% tariff levied by Japan on U.S. automobiles. The 15% is a price increase on the value of the automobile, so a $10,000 vehicle now costs $11,500 to Japanese consumers. This price increase protects domestic producers from being undercut but also keeps prices artificially high for Japanese car shoppers.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Non-tariff barriers to trade include:</w:t>
      </w:r>
    </w:p>
    <w:p>
      <w:pPr>
        <w:pStyle w:val="10"/>
        <w:shd w:val="clear" w:color="auto" w:fill="FFFFFF"/>
        <w:spacing w:before="0" w:beforeAutospacing="0" w:after="0" w:afterAutospacing="0"/>
        <w:jc w:val="both"/>
        <w:rPr>
          <w:color w:val="191919" w:themeColor="background1" w:themeShade="1A"/>
          <w:sz w:val="28"/>
          <w:szCs w:val="28"/>
          <w:lang w:val="en-US"/>
        </w:rPr>
      </w:pPr>
      <w:r>
        <w:rPr>
          <w:rStyle w:val="12"/>
          <w:rFonts w:eastAsiaTheme="minorEastAsia"/>
          <w:b/>
          <w:bCs/>
          <w:color w:val="191919" w:themeColor="background1" w:themeShade="1A"/>
          <w:sz w:val="28"/>
          <w:szCs w:val="28"/>
          <w:lang w:val="en-US"/>
        </w:rPr>
        <w:t>Licenses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license is granted to a business by the government and allows the business to import a certain type of good into the country. For example, there could be a restriction on imported cheese, and licenses would be granted to certain companies allowing them to act as </w:t>
      </w:r>
      <w:r>
        <w:fldChar w:fldCharType="begin"/>
      </w:r>
      <w:r>
        <w:instrText xml:space="preserve"> HYPERLINK "https://www.investopedia.com/terms/i/import.asp" </w:instrText>
      </w:r>
      <w:r>
        <w:fldChar w:fldCharType="separate"/>
      </w:r>
      <w:r>
        <w:rPr>
          <w:rStyle w:val="13"/>
          <w:color w:val="191919" w:themeColor="background1" w:themeShade="1A"/>
          <w:sz w:val="28"/>
          <w:szCs w:val="28"/>
          <w:u w:val="none"/>
          <w:lang w:val="en-US"/>
        </w:rPr>
        <w:t>importers</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This creates a restriction on competition and increases prices faced by consumers.</w:t>
      </w:r>
    </w:p>
    <w:p>
      <w:pPr>
        <w:pStyle w:val="10"/>
        <w:shd w:val="clear" w:color="auto" w:fill="FFFFFF"/>
        <w:spacing w:before="0" w:beforeAutospacing="0" w:after="0" w:afterAutospacing="0"/>
        <w:jc w:val="both"/>
        <w:rPr>
          <w:color w:val="191919" w:themeColor="background1" w:themeShade="1A"/>
          <w:sz w:val="28"/>
          <w:szCs w:val="28"/>
          <w:lang w:val="en-US"/>
        </w:rPr>
      </w:pPr>
      <w:r>
        <w:rPr>
          <w:rStyle w:val="12"/>
          <w:rFonts w:eastAsiaTheme="minorEastAsia"/>
          <w:b/>
          <w:bCs/>
          <w:color w:val="191919" w:themeColor="background1" w:themeShade="1A"/>
          <w:sz w:val="28"/>
          <w:szCs w:val="28"/>
          <w:lang w:val="en-US"/>
        </w:rPr>
        <w:t>Import Quotas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An import </w:t>
      </w:r>
      <w:r>
        <w:fldChar w:fldCharType="begin"/>
      </w:r>
      <w:r>
        <w:instrText xml:space="preserve"> HYPERLINK "https://www.investopedia.com/terms/q/quota.asp" </w:instrText>
      </w:r>
      <w:r>
        <w:fldChar w:fldCharType="separate"/>
      </w:r>
      <w:r>
        <w:rPr>
          <w:rStyle w:val="13"/>
          <w:color w:val="191919" w:themeColor="background1" w:themeShade="1A"/>
          <w:sz w:val="28"/>
          <w:szCs w:val="28"/>
          <w:u w:val="none"/>
          <w:lang w:val="en-US"/>
        </w:rPr>
        <w:t>quota</w:t>
      </w:r>
      <w:r>
        <w:rPr>
          <w:rStyle w:val="13"/>
          <w:color w:val="191919" w:themeColor="background1" w:themeShade="1A"/>
          <w:sz w:val="28"/>
          <w:szCs w:val="28"/>
          <w:u w:val="none"/>
          <w:lang w:val="en-US"/>
        </w:rPr>
        <w:fldChar w:fldCharType="end"/>
      </w:r>
      <w:r>
        <w:rPr>
          <w:color w:val="191919" w:themeColor="background1" w:themeShade="1A"/>
          <w:sz w:val="28"/>
          <w:szCs w:val="28"/>
          <w:lang w:val="en-US"/>
        </w:rPr>
        <w:t> is a restriction placed on the amount of a particular good that can be imported. This sort of barrier is often associated with the issuance of licenses. For example, a country may place a quota on the volume of imported citrus fruit that is allowed.</w:t>
      </w:r>
    </w:p>
    <w:p>
      <w:pPr>
        <w:pStyle w:val="10"/>
        <w:shd w:val="clear" w:color="auto" w:fill="FFFFFF"/>
        <w:spacing w:before="0" w:beforeAutospacing="0" w:after="0" w:afterAutospacing="0"/>
        <w:jc w:val="both"/>
        <w:rPr>
          <w:color w:val="191919" w:themeColor="background1" w:themeShade="1A"/>
          <w:sz w:val="28"/>
          <w:szCs w:val="28"/>
          <w:lang w:val="en-US"/>
        </w:rPr>
      </w:pPr>
      <w:r>
        <w:rPr>
          <w:rStyle w:val="12"/>
          <w:rFonts w:eastAsiaTheme="minorEastAsia"/>
          <w:b/>
          <w:bCs/>
          <w:color w:val="191919" w:themeColor="background1" w:themeShade="1A"/>
          <w:sz w:val="28"/>
          <w:szCs w:val="28"/>
          <w:lang w:val="en-US"/>
        </w:rPr>
        <w:t>Voluntary Export Restraints (VER)</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This type of trade barrier is "voluntary" in that it is created by the exporting country rather than the importing one. A voluntary export restraint is usually levied at the behest of the importing country and could be accompanied by a reciprocal VER. For example, Brazil could place a VER on the exportation of sugar to Canada, based on a request by Canada. Canada could then place a VER on the exportation of coal to Brazil. This increases the price of both coal and sugar but protects the domestic industries.</w:t>
      </w:r>
    </w:p>
    <w:p>
      <w:pPr>
        <w:shd w:val="clear" w:color="auto" w:fill="FFFFFF"/>
        <w:spacing w:after="0" w:line="240" w:lineRule="auto"/>
        <w:rPr>
          <w:rFonts w:ascii="Times New Roman" w:hAnsi="Times New Roman" w:eastAsia="Times New Roman" w:cs="Times New Roman"/>
          <w:b/>
          <w:color w:val="191919" w:themeColor="background1" w:themeShade="1A"/>
          <w:sz w:val="28"/>
          <w:szCs w:val="28"/>
          <w:lang w:val="en-US" w:eastAsia="ru-RU"/>
        </w:rPr>
      </w:pPr>
      <w:r>
        <w:rPr>
          <w:rFonts w:ascii="Times New Roman" w:hAnsi="Times New Roman" w:eastAsia="Times New Roman" w:cs="Times New Roman"/>
          <w:b/>
          <w:color w:val="191919" w:themeColor="background1" w:themeShade="1A"/>
          <w:sz w:val="28"/>
          <w:szCs w:val="28"/>
          <w:lang w:val="en-US" w:eastAsia="ru-RU"/>
        </w:rPr>
        <w:t>2.Economics of Quotas</w:t>
      </w:r>
    </w:p>
    <w:p>
      <w:pPr>
        <w:pStyle w:val="28"/>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quota, which is a type of </w:t>
      </w:r>
      <w:r>
        <w:fldChar w:fldCharType="begin"/>
      </w:r>
      <w:r>
        <w:instrText xml:space="preserve"> HYPERLINK "https://www.intelligenteconomist.com/trade-barriers/" </w:instrText>
      </w:r>
      <w:r>
        <w:fldChar w:fldCharType="separate"/>
      </w:r>
      <w:r>
        <w:rPr>
          <w:rStyle w:val="13"/>
          <w:color w:val="191919" w:themeColor="background1" w:themeShade="1A"/>
          <w:sz w:val="28"/>
          <w:szCs w:val="28"/>
          <w:u w:val="none"/>
          <w:lang w:val="en-US"/>
        </w:rPr>
        <w:t>trade barrier</w:t>
      </w:r>
      <w:r>
        <w:rPr>
          <w:rStyle w:val="13"/>
          <w:color w:val="191919" w:themeColor="background1" w:themeShade="1A"/>
          <w:sz w:val="28"/>
          <w:szCs w:val="28"/>
          <w:u w:val="none"/>
          <w:lang w:val="en-US"/>
        </w:rPr>
        <w:fldChar w:fldCharType="end"/>
      </w:r>
      <w:r>
        <w:rPr>
          <w:color w:val="191919" w:themeColor="background1" w:themeShade="1A"/>
          <w:sz w:val="28"/>
          <w:szCs w:val="28"/>
          <w:lang w:val="en-US"/>
        </w:rPr>
        <w:t>, is a restriction on the quantity that can be imported into a country. Quotas and </w:t>
      </w:r>
      <w:r>
        <w:fldChar w:fldCharType="begin"/>
      </w:r>
      <w:r>
        <w:instrText xml:space="preserve"> HYPERLINK "http://www.intelligenteconomist.com/tariffs/" \o "Tariffs" </w:instrText>
      </w:r>
      <w:r>
        <w:fldChar w:fldCharType="separate"/>
      </w:r>
      <w:r>
        <w:rPr>
          <w:rStyle w:val="13"/>
          <w:color w:val="191919" w:themeColor="background1" w:themeShade="1A"/>
          <w:sz w:val="28"/>
          <w:szCs w:val="28"/>
          <w:u w:val="none"/>
          <w:lang w:val="en-US"/>
        </w:rPr>
        <w:t>Tariffs</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are effectively the same except that governments collect revenue from tariffs while exporting firms can collect extra revenue from quotas (as seen below in box 3). A quota increases the firm’s export revenues.</w:t>
      </w:r>
    </w:p>
    <w:p>
      <w:pPr>
        <w:pStyle w:val="28"/>
        <w:shd w:val="clear" w:color="auto" w:fill="FFFFFF"/>
        <w:spacing w:before="0" w:beforeAutospacing="0" w:after="0" w:afterAutospacing="0"/>
        <w:jc w:val="both"/>
        <w:rPr>
          <w:color w:val="191919" w:themeColor="background1" w:themeShade="1A"/>
          <w:sz w:val="28"/>
          <w:szCs w:val="28"/>
          <w:lang w:val="kk-KZ"/>
        </w:rPr>
      </w:pPr>
      <w:r>
        <w:rPr>
          <w:b/>
          <w:bCs/>
          <w:color w:val="191919" w:themeColor="background1" w:themeShade="1A"/>
          <w:sz w:val="28"/>
          <w:szCs w:val="28"/>
          <w:lang w:val="en-US"/>
        </w:rPr>
        <w:t>Effects of Quotas</w:t>
      </w:r>
      <w:r>
        <w:rPr>
          <w:b/>
          <w:bCs/>
          <w:color w:val="191919" w:themeColor="background1" w:themeShade="1A"/>
          <w:sz w:val="28"/>
          <w:szCs w:val="28"/>
          <w:lang w:val="kk-KZ"/>
        </w:rPr>
        <w:t>:</w:t>
      </w:r>
    </w:p>
    <w:p>
      <w:pPr>
        <w:pStyle w:val="4"/>
        <w:shd w:val="clear" w:color="auto" w:fill="FFFFFF"/>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bCs/>
          <w:i/>
          <w:color w:val="191919" w:themeColor="background1" w:themeShade="1A"/>
          <w:sz w:val="28"/>
          <w:szCs w:val="28"/>
          <w:lang w:val="en-US"/>
        </w:rPr>
        <w:t>1. Domestic Employment</w:t>
      </w:r>
      <w:r>
        <w:rPr>
          <w:rFonts w:ascii="Times New Roman" w:hAnsi="Times New Roman" w:cs="Times New Roman"/>
          <w:b/>
          <w:bCs/>
          <w:color w:val="191919" w:themeColor="background1" w:themeShade="1A"/>
          <w:sz w:val="28"/>
          <w:szCs w:val="28"/>
          <w:lang w:val="kk-KZ"/>
        </w:rPr>
        <w:t>.</w:t>
      </w:r>
      <w:r>
        <w:rPr>
          <w:rFonts w:ascii="Times New Roman" w:hAnsi="Times New Roman" w:cs="Times New Roman"/>
          <w:color w:val="191919" w:themeColor="background1" w:themeShade="1A"/>
          <w:sz w:val="28"/>
          <w:szCs w:val="28"/>
          <w:lang w:val="en-US"/>
        </w:rPr>
        <w:t>A quota leads to an increase in domestic production, which results in an increase in local employment at the expense of consumers paying higher prices for the domestic product.</w:t>
      </w:r>
    </w:p>
    <w:p>
      <w:pPr>
        <w:pStyle w:val="4"/>
        <w:shd w:val="clear" w:color="auto" w:fill="FFFFFF"/>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bCs/>
          <w:i/>
          <w:color w:val="191919" w:themeColor="background1" w:themeShade="1A"/>
          <w:sz w:val="28"/>
          <w:szCs w:val="28"/>
          <w:lang w:val="en-US"/>
        </w:rPr>
        <w:t>2. Infant Industry</w:t>
      </w:r>
      <w:r>
        <w:rPr>
          <w:rFonts w:ascii="Times New Roman" w:hAnsi="Times New Roman" w:cs="Times New Roman"/>
          <w:b/>
          <w:bCs/>
          <w:color w:val="191919" w:themeColor="background1" w:themeShade="1A"/>
          <w:sz w:val="28"/>
          <w:szCs w:val="28"/>
          <w:lang w:val="kk-KZ"/>
        </w:rPr>
        <w:t>.</w:t>
      </w:r>
      <w:r>
        <w:rPr>
          <w:rFonts w:ascii="Times New Roman" w:hAnsi="Times New Roman" w:cs="Times New Roman"/>
          <w:color w:val="191919" w:themeColor="background1" w:themeShade="1A"/>
          <w:sz w:val="28"/>
          <w:szCs w:val="28"/>
          <w:lang w:val="en-US"/>
        </w:rPr>
        <w:t>Quotas are a particularly useful form of protection if the industry is new and maturing. This form of protection can help infant industries compete against lower-priced foreign goods.</w:t>
      </w:r>
    </w:p>
    <w:p>
      <w:pPr>
        <w:pStyle w:val="4"/>
        <w:shd w:val="clear" w:color="auto" w:fill="FFFFFF"/>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bCs/>
          <w:i/>
          <w:color w:val="191919" w:themeColor="background1" w:themeShade="1A"/>
          <w:sz w:val="28"/>
          <w:szCs w:val="28"/>
          <w:lang w:val="en-US"/>
        </w:rPr>
        <w:t>3. Unfair Trade</w:t>
      </w:r>
      <w:r>
        <w:rPr>
          <w:rFonts w:ascii="Times New Roman" w:hAnsi="Times New Roman" w:cs="Times New Roman"/>
          <w:b/>
          <w:bCs/>
          <w:color w:val="191919" w:themeColor="background1" w:themeShade="1A"/>
          <w:sz w:val="28"/>
          <w:szCs w:val="28"/>
          <w:lang w:val="kk-KZ"/>
        </w:rPr>
        <w:t>.</w:t>
      </w:r>
      <w:r>
        <w:rPr>
          <w:rFonts w:ascii="Times New Roman" w:hAnsi="Times New Roman" w:cs="Times New Roman"/>
          <w:color w:val="191919" w:themeColor="background1" w:themeShade="1A"/>
          <w:sz w:val="28"/>
          <w:szCs w:val="28"/>
          <w:lang w:val="en-US"/>
        </w:rPr>
        <w:t>Some countries apply quotas to protect local industries from dumping. Dumping occurs when producers in foreign countries have unfair advantages to lower costs, such as subsidies or controversial labor laws allowing them to produce at a much lower cost. This means they can sell their products in a foreign market at a lower price than the actual cost of production.</w:t>
      </w:r>
    </w:p>
    <w:p>
      <w:pPr>
        <w:pStyle w:val="4"/>
        <w:shd w:val="clear" w:color="auto" w:fill="FFFFFF"/>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bCs/>
          <w:i/>
          <w:color w:val="191919" w:themeColor="background1" w:themeShade="1A"/>
          <w:sz w:val="28"/>
          <w:szCs w:val="28"/>
          <w:lang w:val="en-US"/>
        </w:rPr>
        <w:t>4. Smuggling</w:t>
      </w:r>
      <w:r>
        <w:rPr>
          <w:rFonts w:ascii="Times New Roman" w:hAnsi="Times New Roman" w:cs="Times New Roman"/>
          <w:b/>
          <w:bCs/>
          <w:color w:val="191919" w:themeColor="background1" w:themeShade="1A"/>
          <w:sz w:val="28"/>
          <w:szCs w:val="28"/>
          <w:lang w:val="kk-KZ"/>
        </w:rPr>
        <w:t>.</w:t>
      </w:r>
      <w:r>
        <w:rPr>
          <w:rFonts w:ascii="Times New Roman" w:hAnsi="Times New Roman" w:cs="Times New Roman"/>
          <w:color w:val="191919" w:themeColor="background1" w:themeShade="1A"/>
          <w:sz w:val="28"/>
          <w:szCs w:val="28"/>
          <w:lang w:val="en-US"/>
        </w:rPr>
        <w:t>To combat a quota and high price, sometimes a black market is created where smugglers illegally import the good to circumvent the quota. This could diminish the effectiveness of the quota.</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goal of a quota is to reduce imports and protect domestic production a good from competition abroad. As demand for the foreign good is artificially lowered, domestic consumers are forced to increase consumption of the domestically produced product.</w:t>
      </w:r>
    </w:p>
    <w:p>
      <w:pPr>
        <w:pStyle w:val="10"/>
        <w:shd w:val="clear" w:color="auto" w:fill="FFFFFF"/>
        <w:spacing w:before="0" w:beforeAutospacing="0" w:after="0" w:afterAutospacing="0"/>
        <w:jc w:val="both"/>
        <w:rPr>
          <w:b/>
          <w:bCs/>
          <w:color w:val="191919" w:themeColor="background1" w:themeShade="1A"/>
          <w:sz w:val="28"/>
          <w:szCs w:val="28"/>
          <w:lang w:val="kk-KZ"/>
        </w:rPr>
      </w:pPr>
      <w:r>
        <w:rPr>
          <w:b/>
          <w:bCs/>
          <w:color w:val="191919" w:themeColor="background1" w:themeShade="1A"/>
          <w:sz w:val="28"/>
          <w:szCs w:val="28"/>
          <w:lang w:val="en-US"/>
        </w:rPr>
        <w:t>Quota Diagram</w:t>
      </w:r>
      <w:r>
        <w:rPr>
          <w:b/>
          <w:bCs/>
          <w:color w:val="191919" w:themeColor="background1" w:themeShade="1A"/>
          <w:sz w:val="28"/>
          <w:szCs w:val="28"/>
          <w:lang w:val="kk-KZ"/>
        </w:rPr>
        <w:t>:</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bCs/>
          <w:i/>
          <w:color w:val="191919" w:themeColor="background1" w:themeShade="1A"/>
          <w:sz w:val="28"/>
          <w:szCs w:val="28"/>
          <w:lang w:val="en-US"/>
        </w:rPr>
        <w:t>1. Initial Import Quantity</w:t>
      </w:r>
      <w:r>
        <w:rPr>
          <w:bCs/>
          <w:i/>
          <w:color w:val="191919" w:themeColor="background1" w:themeShade="1A"/>
          <w:sz w:val="28"/>
          <w:szCs w:val="28"/>
          <w:lang w:val="kk-KZ"/>
        </w:rPr>
        <w:t>.</w:t>
      </w:r>
      <w:r>
        <w:rPr>
          <w:b/>
          <w:bCs/>
          <w:color w:val="191919" w:themeColor="background1" w:themeShade="1A"/>
          <w:sz w:val="28"/>
          <w:szCs w:val="28"/>
          <w:lang w:val="kk-KZ"/>
        </w:rPr>
        <w:t xml:space="preserve"> </w:t>
      </w:r>
      <w:r>
        <w:rPr>
          <w:color w:val="191919" w:themeColor="background1" w:themeShade="1A"/>
          <w:sz w:val="28"/>
          <w:szCs w:val="28"/>
          <w:lang w:val="en-US"/>
        </w:rPr>
        <w:t>At world price P1, the quantity demanded locally is Q2, while Q1 represents the quantity supplied by local firms. This can be seen at the intersection of World Supply curve and the domestic demand and supply curves. So quantity imported = Q2 – Q1 or the line Q1Q2.</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bCs/>
          <w:i/>
          <w:color w:val="191919" w:themeColor="background1" w:themeShade="1A"/>
          <w:sz w:val="28"/>
          <w:szCs w:val="28"/>
          <w:lang w:val="en-US"/>
        </w:rPr>
        <w:t>2. Quota</w:t>
      </w:r>
      <w:r>
        <w:rPr>
          <w:b/>
          <w:bCs/>
          <w:color w:val="191919" w:themeColor="background1" w:themeShade="1A"/>
          <w:sz w:val="28"/>
          <w:szCs w:val="28"/>
          <w:lang w:val="kk-KZ"/>
        </w:rPr>
        <w:t>.</w:t>
      </w:r>
      <w:r>
        <w:rPr>
          <w:color w:val="191919" w:themeColor="background1" w:themeShade="1A"/>
          <w:sz w:val="28"/>
          <w:szCs w:val="28"/>
          <w:lang w:val="en-US"/>
        </w:rPr>
        <w:t>If the government decides to impose a quota, i.e., limit the quantity a foreign firm can supply, then the world supply becomes Domestic Supply + the Quota</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bCs/>
          <w:i/>
          <w:color w:val="191919" w:themeColor="background1" w:themeShade="1A"/>
          <w:sz w:val="28"/>
          <w:szCs w:val="28"/>
          <w:lang w:val="en-US"/>
        </w:rPr>
        <w:t>3. New Equilibrium</w:t>
      </w:r>
      <w:r>
        <w:rPr>
          <w:b/>
          <w:bCs/>
          <w:color w:val="191919" w:themeColor="background1" w:themeShade="1A"/>
          <w:sz w:val="28"/>
          <w:szCs w:val="28"/>
          <w:lang w:val="kk-KZ"/>
        </w:rPr>
        <w:t>.</w:t>
      </w:r>
      <w:r>
        <w:rPr>
          <w:color w:val="191919" w:themeColor="background1" w:themeShade="1A"/>
          <w:sz w:val="28"/>
          <w:szCs w:val="28"/>
          <w:lang w:val="en-US"/>
        </w:rPr>
        <w:t>The result is an increase in price from P1 to P2. At P1. There is excess demand in the market (Q1Q2), so price keeps shifting till it reaches P2, where the market is at equilibrium.</w:t>
      </w:r>
    </w:p>
    <w:p>
      <w:pPr>
        <w:pStyle w:val="4"/>
        <w:shd w:val="clear" w:color="auto" w:fill="FFFFFF"/>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bCs/>
          <w:i/>
          <w:color w:val="191919" w:themeColor="background1" w:themeShade="1A"/>
          <w:sz w:val="28"/>
          <w:szCs w:val="28"/>
          <w:lang w:val="en-US"/>
        </w:rPr>
        <w:t>4. New Import Quantity</w:t>
      </w:r>
      <w:r>
        <w:rPr>
          <w:rFonts w:ascii="Times New Roman" w:hAnsi="Times New Roman" w:cs="Times New Roman"/>
          <w:b/>
          <w:bCs/>
          <w:color w:val="191919" w:themeColor="background1" w:themeShade="1A"/>
          <w:sz w:val="28"/>
          <w:szCs w:val="28"/>
          <w:lang w:val="kk-KZ"/>
        </w:rPr>
        <w:t>.</w:t>
      </w:r>
      <w:r>
        <w:rPr>
          <w:rFonts w:ascii="Times New Roman" w:hAnsi="Times New Roman" w:cs="Times New Roman"/>
          <w:color w:val="191919" w:themeColor="background1" w:themeShade="1A"/>
          <w:sz w:val="28"/>
          <w:szCs w:val="28"/>
          <w:lang w:val="en-US"/>
        </w:rPr>
        <w:t>At P2, local firms supply Q3, and the local demand is Q4. The rest is imported, which is equal to the Quota that was earlier imposed by the government. Quotas increase the price, decrease consumption but increase local production.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eastAsia="ru-RU"/>
        </w:rPr>
        <w:drawing>
          <wp:inline distT="0" distB="0" distL="0" distR="0">
            <wp:extent cx="4519295" cy="2258060"/>
            <wp:effectExtent l="19050" t="0" r="0" b="0"/>
            <wp:docPr id="6" name="Рисунок 6" descr="Quotas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Quotas diagram"/>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30806" cy="2263784"/>
                    </a:xfrm>
                    <a:prstGeom prst="rect">
                      <a:avLst/>
                    </a:prstGeom>
                    <a:noFill/>
                    <a:ln>
                      <a:noFill/>
                    </a:ln>
                  </pic:spPr>
                </pic:pic>
              </a:graphicData>
            </a:graphic>
          </wp:inline>
        </w:drawing>
      </w:r>
    </w:p>
    <w:p>
      <w:pPr>
        <w:pStyle w:val="4"/>
        <w:shd w:val="clear" w:color="auto" w:fill="FFFFFF"/>
        <w:ind w:firstLine="567"/>
        <w:jc w:val="both"/>
        <w:rPr>
          <w:rFonts w:ascii="Times New Roman" w:hAnsi="Times New Roman" w:cs="Times New Roman"/>
          <w:b/>
          <w:bCs/>
          <w:color w:val="191919" w:themeColor="background1" w:themeShade="1A"/>
          <w:sz w:val="28"/>
          <w:szCs w:val="28"/>
        </w:rPr>
      </w:pPr>
    </w:p>
    <w:p>
      <w:pPr>
        <w:pStyle w:val="4"/>
        <w:shd w:val="clear" w:color="auto" w:fill="FFFFFF"/>
        <w:ind w:firstLine="567"/>
        <w:jc w:val="both"/>
        <w:rPr>
          <w:rFonts w:ascii="Times New Roman" w:hAnsi="Times New Roman" w:cs="Times New Roman"/>
          <w:color w:val="191919" w:themeColor="background1" w:themeShade="1A"/>
          <w:sz w:val="28"/>
          <w:szCs w:val="28"/>
        </w:rPr>
      </w:pPr>
      <w:r>
        <w:rPr>
          <w:rFonts w:ascii="Times New Roman" w:hAnsi="Times New Roman" w:cs="Times New Roman"/>
          <w:b/>
          <w:bCs/>
          <w:color w:val="191919" w:themeColor="background1" w:themeShade="1A"/>
          <w:sz w:val="28"/>
          <w:szCs w:val="28"/>
        </w:rPr>
        <w:t>Economic Effect</w:t>
      </w:r>
    </w:p>
    <w:p>
      <w:pPr>
        <w:numPr>
          <w:ilvl w:val="0"/>
          <w:numId w:val="24"/>
        </w:numPr>
        <w:shd w:val="clear" w:color="auto" w:fill="FFFFFF"/>
        <w:tabs>
          <w:tab w:val="left" w:pos="0"/>
          <w:tab w:val="left" w:pos="426"/>
          <w:tab w:val="clear" w:pos="720"/>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change in </w:t>
      </w:r>
      <w:r>
        <w:fldChar w:fldCharType="begin"/>
      </w:r>
      <w:r>
        <w:instrText xml:space="preserve"> HYPERLINK "http://www.intelligenteconomist.com/consumer-producer-surplus/" \o "Consumer &amp; Producer Surplus" </w:instrText>
      </w:r>
      <w:r>
        <w:fldChar w:fldCharType="separate"/>
      </w:r>
      <w:r>
        <w:rPr>
          <w:rStyle w:val="13"/>
          <w:rFonts w:ascii="Times New Roman" w:hAnsi="Times New Roman" w:cs="Times New Roman"/>
          <w:color w:val="191919" w:themeColor="background1" w:themeShade="1A"/>
          <w:sz w:val="28"/>
          <w:szCs w:val="28"/>
          <w:u w:val="none"/>
          <w:lang w:val="en-US"/>
        </w:rPr>
        <w:t>Producer Surplus</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 + Box 1</w:t>
      </w:r>
    </w:p>
    <w:p>
      <w:pPr>
        <w:numPr>
          <w:ilvl w:val="0"/>
          <w:numId w:val="24"/>
        </w:numPr>
        <w:shd w:val="clear" w:color="auto" w:fill="FFFFFF"/>
        <w:tabs>
          <w:tab w:val="left" w:pos="0"/>
          <w:tab w:val="left" w:pos="426"/>
          <w:tab w:val="clear" w:pos="720"/>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change in </w:t>
      </w:r>
      <w:r>
        <w:fldChar w:fldCharType="begin"/>
      </w:r>
      <w:r>
        <w:instrText xml:space="preserve"> HYPERLINK "http://www.intelligenteconomist.com/consumer-producer-surplus/" \o "Consumer &amp; Producer Surplus" </w:instrText>
      </w:r>
      <w:r>
        <w:fldChar w:fldCharType="separate"/>
      </w:r>
      <w:r>
        <w:rPr>
          <w:rStyle w:val="13"/>
          <w:rFonts w:ascii="Times New Roman" w:hAnsi="Times New Roman" w:cs="Times New Roman"/>
          <w:color w:val="191919" w:themeColor="background1" w:themeShade="1A"/>
          <w:sz w:val="28"/>
          <w:szCs w:val="28"/>
          <w:u w:val="none"/>
          <w:lang w:val="en-US"/>
        </w:rPr>
        <w:t>Consumer Surplus</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 – Box 1, Box 2, Box 3, Box 4</w:t>
      </w:r>
    </w:p>
    <w:p>
      <w:pPr>
        <w:numPr>
          <w:ilvl w:val="0"/>
          <w:numId w:val="24"/>
        </w:numPr>
        <w:shd w:val="clear" w:color="auto" w:fill="FFFFFF"/>
        <w:tabs>
          <w:tab w:val="left" w:pos="0"/>
          <w:tab w:val="left" w:pos="426"/>
          <w:tab w:val="clear" w:pos="720"/>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change in Welfare = – Box 2, Box 3, Box 4</w:t>
      </w:r>
    </w:p>
    <w:p>
      <w:pPr>
        <w:numPr>
          <w:ilvl w:val="0"/>
          <w:numId w:val="24"/>
        </w:numPr>
        <w:shd w:val="clear" w:color="auto" w:fill="FFFFFF"/>
        <w:tabs>
          <w:tab w:val="left" w:pos="0"/>
          <w:tab w:val="left" w:pos="426"/>
          <w:tab w:val="clear" w:pos="720"/>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Box 3 is collected by foreign firms now.</w:t>
      </w:r>
    </w:p>
    <w:p>
      <w:pPr>
        <w:numPr>
          <w:ilvl w:val="0"/>
          <w:numId w:val="24"/>
        </w:numPr>
        <w:shd w:val="clear" w:color="auto" w:fill="FFFFFF"/>
        <w:tabs>
          <w:tab w:val="left" w:pos="0"/>
          <w:tab w:val="left" w:pos="426"/>
          <w:tab w:val="clear" w:pos="720"/>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Box 2 represents production inefficiency &amp; Box 4 represents consumption inefficiency.</w:t>
      </w:r>
    </w:p>
    <w:p>
      <w:pPr>
        <w:pStyle w:val="10"/>
        <w:shd w:val="clear" w:color="auto" w:fill="FFFFFF"/>
        <w:spacing w:before="0" w:beforeAutospacing="0" w:after="0" w:afterAutospacing="0"/>
        <w:ind w:firstLine="567"/>
        <w:jc w:val="both"/>
        <w:rPr>
          <w:color w:val="191919" w:themeColor="background1" w:themeShade="1A"/>
          <w:sz w:val="28"/>
          <w:szCs w:val="28"/>
          <w:lang w:val="en-US"/>
        </w:rPr>
      </w:pPr>
    </w:p>
    <w:p>
      <w:pPr>
        <w:pStyle w:val="10"/>
        <w:shd w:val="clear" w:color="auto" w:fill="FFFFFF"/>
        <w:spacing w:before="0" w:beforeAutospacing="0" w:after="0" w:afterAutospacing="0"/>
        <w:rPr>
          <w:b/>
          <w:color w:val="191919" w:themeColor="background1" w:themeShade="1A"/>
          <w:sz w:val="28"/>
          <w:szCs w:val="28"/>
          <w:lang w:val="en-US"/>
        </w:rPr>
      </w:pPr>
      <w:r>
        <w:rPr>
          <w:b/>
          <w:color w:val="191919" w:themeColor="background1" w:themeShade="1A"/>
          <w:sz w:val="28"/>
          <w:szCs w:val="28"/>
          <w:lang w:val="kk-KZ"/>
        </w:rPr>
        <w:t>3.</w:t>
      </w:r>
      <w:r>
        <w:rPr>
          <w:b/>
          <w:color w:val="191919" w:themeColor="background1" w:themeShade="1A"/>
          <w:sz w:val="28"/>
          <w:szCs w:val="28"/>
          <w:lang w:val="en-US"/>
        </w:rPr>
        <w:t xml:space="preserve"> Protectionism  and Imperfect Competition</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Perfectly competitive market is more likely a model than the reality in the economy. However, it has huge significance for understanding the nature of the market. In the real world, however, we meet </w:t>
      </w:r>
      <w:r>
        <w:rPr>
          <w:rFonts w:ascii="Times New Roman" w:hAnsi="Times New Roman" w:eastAsia="Times New Roman" w:cs="Times New Roman"/>
          <w:b/>
          <w:bCs/>
          <w:color w:val="191919" w:themeColor="background1" w:themeShade="1A"/>
          <w:sz w:val="28"/>
          <w:szCs w:val="28"/>
          <w:lang w:val="en-US" w:eastAsia="ru-RU"/>
        </w:rPr>
        <w:t>imperfect competition</w:t>
      </w:r>
      <w:r>
        <w:rPr>
          <w:rFonts w:ascii="Times New Roman" w:hAnsi="Times New Roman" w:eastAsia="Times New Roman" w:cs="Times New Roman"/>
          <w:color w:val="191919" w:themeColor="background1" w:themeShade="1A"/>
          <w:sz w:val="28"/>
          <w:szCs w:val="28"/>
          <w:lang w:val="en-US" w:eastAsia="ru-RU"/>
        </w:rPr>
        <w:t>. The difference is mainly in the fact that under perfect competition the market price forms independently on the wishes and efforts of individual companies and is a mutual resultant between supply and demand. In imperfect competition, companies have greater possibility to affect the market price, respectively to acquire additional advantages in their favour especially because of their economic power. There are more reasons why the competitive markets become imperfectly competitive:</w:t>
      </w:r>
    </w:p>
    <w:p>
      <w:pPr>
        <w:numPr>
          <w:ilvl w:val="0"/>
          <w:numId w:val="25"/>
        </w:numPr>
        <w:tabs>
          <w:tab w:val="left" w:pos="0"/>
          <w:tab w:val="left" w:pos="426"/>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different cost or demand conditions of individual sectors,</w:t>
      </w:r>
    </w:p>
    <w:p>
      <w:pPr>
        <w:numPr>
          <w:ilvl w:val="0"/>
          <w:numId w:val="25"/>
        </w:numPr>
        <w:tabs>
          <w:tab w:val="left" w:pos="0"/>
          <w:tab w:val="left" w:pos="426"/>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different economic power of particular manufacturers due to concentration,</w:t>
      </w:r>
    </w:p>
    <w:p>
      <w:pPr>
        <w:numPr>
          <w:ilvl w:val="0"/>
          <w:numId w:val="25"/>
        </w:numPr>
        <w:tabs>
          <w:tab w:val="left" w:pos="0"/>
          <w:tab w:val="left" w:pos="426"/>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production is dependent on technical infrastructure that does not have a substitute,</w:t>
      </w:r>
    </w:p>
    <w:p>
      <w:pPr>
        <w:numPr>
          <w:ilvl w:val="0"/>
          <w:numId w:val="25"/>
        </w:numPr>
        <w:tabs>
          <w:tab w:val="left" w:pos="0"/>
          <w:tab w:val="left" w:pos="426"/>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color w:val="191919" w:themeColor="background1" w:themeShade="1A"/>
          <w:sz w:val="28"/>
          <w:szCs w:val="28"/>
          <w:lang w:eastAsia="ru-RU"/>
        </w:rPr>
        <w:t>high barriers to entry,</w:t>
      </w:r>
    </w:p>
    <w:p>
      <w:pPr>
        <w:numPr>
          <w:ilvl w:val="0"/>
          <w:numId w:val="25"/>
        </w:numPr>
        <w:tabs>
          <w:tab w:val="left" w:pos="0"/>
          <w:tab w:val="left" w:pos="426"/>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color w:val="191919" w:themeColor="background1" w:themeShade="1A"/>
          <w:sz w:val="28"/>
          <w:szCs w:val="28"/>
          <w:lang w:eastAsia="ru-RU"/>
        </w:rPr>
        <w:t>high transport costs,</w:t>
      </w:r>
    </w:p>
    <w:p>
      <w:pPr>
        <w:numPr>
          <w:ilvl w:val="0"/>
          <w:numId w:val="25"/>
        </w:numPr>
        <w:tabs>
          <w:tab w:val="left" w:pos="0"/>
          <w:tab w:val="left" w:pos="426"/>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protectionist policy of the state, duties, price controls, market or business patent rights,</w:t>
      </w:r>
    </w:p>
    <w:p>
      <w:pPr>
        <w:numPr>
          <w:ilvl w:val="0"/>
          <w:numId w:val="25"/>
        </w:numPr>
        <w:tabs>
          <w:tab w:val="left" w:pos="0"/>
          <w:tab w:val="left" w:pos="426"/>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color w:val="191919" w:themeColor="background1" w:themeShade="1A"/>
          <w:sz w:val="28"/>
          <w:szCs w:val="28"/>
          <w:lang w:eastAsia="ru-RU"/>
        </w:rPr>
        <w:t>the existence of externalities,</w:t>
      </w:r>
    </w:p>
    <w:p>
      <w:pPr>
        <w:numPr>
          <w:ilvl w:val="0"/>
          <w:numId w:val="25"/>
        </w:numPr>
        <w:tabs>
          <w:tab w:val="left" w:pos="0"/>
          <w:tab w:val="left" w:pos="426"/>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distribution of public goods by the state,</w:t>
      </w:r>
    </w:p>
    <w:p>
      <w:pPr>
        <w:numPr>
          <w:ilvl w:val="0"/>
          <w:numId w:val="25"/>
        </w:numPr>
        <w:tabs>
          <w:tab w:val="left" w:pos="0"/>
          <w:tab w:val="left" w:pos="426"/>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distribution of government contracts,</w:t>
      </w:r>
    </w:p>
    <w:p>
      <w:pPr>
        <w:numPr>
          <w:ilvl w:val="0"/>
          <w:numId w:val="25"/>
        </w:numPr>
        <w:tabs>
          <w:tab w:val="left" w:pos="0"/>
          <w:tab w:val="left" w:pos="426"/>
          <w:tab w:val="clear" w:pos="720"/>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disturbances of the flow of market information.</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Unlike perfect competition, the manufacturer in imperfect competition can determine or influence the market price due to its special position in the market (e. g. through economic power. If only one seller of a product remains on the market because other firms cannot enter the market and compete with him, we are talking about the </w:t>
      </w:r>
      <w:r>
        <w:rPr>
          <w:bCs/>
          <w:color w:val="191919" w:themeColor="background1" w:themeShade="1A"/>
          <w:sz w:val="28"/>
          <w:szCs w:val="28"/>
          <w:lang w:val="en-US"/>
        </w:rPr>
        <w:t>monopoly market structure</w:t>
      </w:r>
      <w:r>
        <w:rPr>
          <w:color w:val="191919" w:themeColor="background1" w:themeShade="1A"/>
          <w:sz w:val="28"/>
          <w:szCs w:val="28"/>
          <w:lang w:val="en-US"/>
        </w:rPr>
        <w:t>. Monopoly practices leading to higher prices are applied not only under monopoly market structure, but also under </w:t>
      </w:r>
      <w:r>
        <w:rPr>
          <w:bCs/>
          <w:color w:val="191919" w:themeColor="background1" w:themeShade="1A"/>
          <w:sz w:val="28"/>
          <w:szCs w:val="28"/>
          <w:lang w:val="en-US"/>
        </w:rPr>
        <w:t>oligopoly structure</w:t>
      </w:r>
      <w:r>
        <w:rPr>
          <w:color w:val="191919" w:themeColor="background1" w:themeShade="1A"/>
          <w:sz w:val="28"/>
          <w:szCs w:val="28"/>
          <w:lang w:val="en-US"/>
        </w:rPr>
        <w:t> (a few firms in the market) on the basis of cartel agreements on prices, advertising, research and development. Monopoly behaviour of companies includes price discrimination, "predatory" pricing (i.e. selling at prices lower than cost, low prices are then destroying the competition and when the competition is liquidated, prices will rise) and tie-in sale (i.e. a company uses its monopoly position to gain a monopoly position in another market). Oligopolistic behaviour includes cartel agreements. Most of the current markets have oligopolistic structure, in which there are communication between firms and mutual influencing of their strategies.</w:t>
      </w:r>
    </w:p>
    <w:p>
      <w:pPr>
        <w:pStyle w:val="10"/>
        <w:spacing w:before="0" w:beforeAutospacing="0" w:after="0" w:afterAutospacing="0"/>
        <w:ind w:firstLine="567"/>
        <w:jc w:val="both"/>
        <w:rPr>
          <w:color w:val="191919" w:themeColor="background1" w:themeShade="1A"/>
          <w:sz w:val="28"/>
          <w:szCs w:val="28"/>
          <w:lang w:val="en-US"/>
        </w:rPr>
      </w:pPr>
      <w:r>
        <w:rPr>
          <w:bCs/>
          <w:color w:val="191919" w:themeColor="background1" w:themeShade="1A"/>
          <w:sz w:val="28"/>
          <w:szCs w:val="28"/>
          <w:lang w:val="en-US"/>
        </w:rPr>
        <w:t>The degree of monopoly power</w:t>
      </w:r>
      <w:r>
        <w:rPr>
          <w:color w:val="191919" w:themeColor="background1" w:themeShade="1A"/>
          <w:sz w:val="28"/>
          <w:szCs w:val="28"/>
          <w:lang w:val="en-US"/>
        </w:rPr>
        <w:t>, i.e. the ability to set a price higher than the marginal cost, can be expressed using the</w:t>
      </w:r>
      <w:r>
        <w:rPr>
          <w:bCs/>
          <w:color w:val="191919" w:themeColor="background1" w:themeShade="1A"/>
          <w:sz w:val="28"/>
          <w:szCs w:val="28"/>
          <w:lang w:val="en-US"/>
        </w:rPr>
        <w:t> Lerner index </w:t>
      </w:r>
      <w:r>
        <w:rPr>
          <w:color w:val="191919" w:themeColor="background1" w:themeShade="1A"/>
          <w:sz w:val="28"/>
          <w:szCs w:val="28"/>
          <w:lang w:val="en-US"/>
        </w:rPr>
        <w:t>(</w:t>
      </w:r>
      <w:r>
        <w:rPr>
          <w:i/>
          <w:iCs/>
          <w:color w:val="191919" w:themeColor="background1" w:themeShade="1A"/>
          <w:sz w:val="28"/>
          <w:szCs w:val="28"/>
          <w:lang w:val="en-US"/>
        </w:rPr>
        <w:t>L</w:t>
      </w:r>
      <w:r>
        <w:rPr>
          <w:color w:val="191919" w:themeColor="background1" w:themeShade="1A"/>
          <w:sz w:val="28"/>
          <w:szCs w:val="28"/>
          <w:lang w:val="en-US"/>
        </w:rPr>
        <w:t>).</w:t>
      </w:r>
    </w:p>
    <w:p>
      <w:pPr>
        <w:pStyle w:val="10"/>
        <w:spacing w:before="0" w:beforeAutospacing="0" w:after="0" w:afterAutospacing="0"/>
        <w:ind w:firstLine="567"/>
        <w:jc w:val="both"/>
        <w:rPr>
          <w:color w:val="191919" w:themeColor="background1" w:themeShade="1A"/>
          <w:sz w:val="28"/>
          <w:szCs w:val="28"/>
          <w:lang w:val="en-US"/>
        </w:rPr>
      </w:pPr>
      <w:r>
        <w:rPr>
          <w:rStyle w:val="30"/>
          <w:color w:val="191919" w:themeColor="background1" w:themeShade="1A"/>
          <w:sz w:val="28"/>
          <w:szCs w:val="28"/>
          <w:lang w:val="en-US"/>
        </w:rPr>
        <w:t>L=P-MCP</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where </w:t>
      </w:r>
      <w:r>
        <w:rPr>
          <w:i/>
          <w:iCs/>
          <w:color w:val="191919" w:themeColor="background1" w:themeShade="1A"/>
          <w:sz w:val="28"/>
          <w:szCs w:val="28"/>
          <w:lang w:val="en-US"/>
        </w:rPr>
        <w:t>P</w:t>
      </w:r>
      <w:r>
        <w:rPr>
          <w:color w:val="191919" w:themeColor="background1" w:themeShade="1A"/>
          <w:sz w:val="28"/>
          <w:szCs w:val="28"/>
          <w:lang w:val="en-US"/>
        </w:rPr>
        <w:t> denotes the price and </w:t>
      </w:r>
      <w:r>
        <w:rPr>
          <w:i/>
          <w:iCs/>
          <w:color w:val="191919" w:themeColor="background1" w:themeShade="1A"/>
          <w:sz w:val="28"/>
          <w:szCs w:val="28"/>
          <w:lang w:val="en-US"/>
        </w:rPr>
        <w:t>MC</w:t>
      </w:r>
      <w:r>
        <w:rPr>
          <w:color w:val="191919" w:themeColor="background1" w:themeShade="1A"/>
          <w:sz w:val="28"/>
          <w:szCs w:val="28"/>
          <w:lang w:val="en-US"/>
        </w:rPr>
        <w:t> denotes the marginal costs. Lerner index can take values ​​from 0 to 1, higher values ​​indicate greater monopoly power. When </w:t>
      </w:r>
      <w:r>
        <w:rPr>
          <w:i/>
          <w:iCs/>
          <w:color w:val="191919" w:themeColor="background1" w:themeShade="1A"/>
          <w:sz w:val="28"/>
          <w:szCs w:val="28"/>
          <w:lang w:val="en-US"/>
        </w:rPr>
        <w:t>L</w:t>
      </w:r>
      <w:r>
        <w:rPr>
          <w:color w:val="191919" w:themeColor="background1" w:themeShade="1A"/>
          <w:sz w:val="28"/>
          <w:szCs w:val="28"/>
          <w:lang w:val="en-US"/>
        </w:rPr>
        <w:t> = 0, it is a perfect competition (</w:t>
      </w:r>
      <w:r>
        <w:rPr>
          <w:i/>
          <w:iCs/>
          <w:color w:val="191919" w:themeColor="background1" w:themeShade="1A"/>
          <w:sz w:val="28"/>
          <w:szCs w:val="28"/>
          <w:lang w:val="en-US"/>
        </w:rPr>
        <w:t>P = MC</w:t>
      </w:r>
      <w:r>
        <w:rPr>
          <w:color w:val="191919" w:themeColor="background1" w:themeShade="1A"/>
          <w:sz w:val="28"/>
          <w:szCs w:val="28"/>
          <w:lang w:val="en-US"/>
        </w:rPr>
        <w:t>). (Hejtman, 2001)</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We can compare what economic consequences would be if one product was offered in a perfectly competitive market and in an imperfectly competitive market (monopoly). The situation is shown in the picture, which schematically illustrates the social benefits of allocation.</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first graph shows a perfectly competitive market. The market price of 46 CZK per kg is determined at the point, where the price and the marginal cost of firms are equal (</w:t>
      </w:r>
      <w:r>
        <w:rPr>
          <w:i/>
          <w:iCs/>
          <w:color w:val="191919" w:themeColor="background1" w:themeShade="1A"/>
          <w:sz w:val="28"/>
          <w:szCs w:val="28"/>
          <w:lang w:val="en-US"/>
        </w:rPr>
        <w:t>P</w:t>
      </w:r>
      <w:r>
        <w:rPr>
          <w:color w:val="191919" w:themeColor="background1" w:themeShade="1A"/>
          <w:sz w:val="28"/>
          <w:szCs w:val="28"/>
          <w:lang w:val="en-US"/>
        </w:rPr>
        <w:t> = </w:t>
      </w:r>
      <w:r>
        <w:rPr>
          <w:i/>
          <w:iCs/>
          <w:color w:val="191919" w:themeColor="background1" w:themeShade="1A"/>
          <w:sz w:val="28"/>
          <w:szCs w:val="28"/>
          <w:lang w:val="en-US"/>
        </w:rPr>
        <w:t>MC</w:t>
      </w:r>
      <w:r>
        <w:rPr>
          <w:color w:val="191919" w:themeColor="background1" w:themeShade="1A"/>
          <w:sz w:val="28"/>
          <w:szCs w:val="28"/>
          <w:lang w:val="en-US"/>
        </w:rPr>
        <w:t>). This corresponds to a production of about 5.200 tons. Consumer and producer surplus are dividend accordingly.</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second graph reflects the situation in the monopoly market, i.e. </w:t>
      </w:r>
      <w:r>
        <w:rPr>
          <w:bCs/>
          <w:color w:val="191919" w:themeColor="background1" w:themeShade="1A"/>
          <w:sz w:val="28"/>
          <w:szCs w:val="28"/>
          <w:lang w:val="en-US"/>
        </w:rPr>
        <w:t>imperfect competition</w:t>
      </w:r>
      <w:r>
        <w:rPr>
          <w:color w:val="191919" w:themeColor="background1" w:themeShade="1A"/>
          <w:sz w:val="28"/>
          <w:szCs w:val="28"/>
          <w:lang w:val="en-US"/>
        </w:rPr>
        <w:t>. According to the criterion of maximizing the total profit </w:t>
      </w:r>
      <w:r>
        <w:rPr>
          <w:i/>
          <w:iCs/>
          <w:color w:val="191919" w:themeColor="background1" w:themeShade="1A"/>
          <w:sz w:val="28"/>
          <w:szCs w:val="28"/>
          <w:lang w:val="en-US"/>
        </w:rPr>
        <w:t>MC = MR</w:t>
      </w:r>
      <w:r>
        <w:rPr>
          <w:color w:val="191919" w:themeColor="background1" w:themeShade="1A"/>
          <w:sz w:val="28"/>
          <w:szCs w:val="28"/>
          <w:lang w:val="en-US"/>
        </w:rPr>
        <w:t>, the output is much smaller (about 3 thousand tons), but there is a </w:t>
      </w:r>
      <w:r>
        <w:rPr>
          <w:bCs/>
          <w:color w:val="191919" w:themeColor="background1" w:themeShade="1A"/>
          <w:sz w:val="28"/>
          <w:szCs w:val="28"/>
          <w:lang w:val="en-US"/>
        </w:rPr>
        <w:t>monopoly price</w:t>
      </w:r>
      <w:r>
        <w:rPr>
          <w:color w:val="191919" w:themeColor="background1" w:themeShade="1A"/>
          <w:sz w:val="28"/>
          <w:szCs w:val="28"/>
          <w:lang w:val="en-US"/>
        </w:rPr>
        <w:t> of 63 CZK per kg. It can be seen very clearly, how much the price is higher than the marginal cost of production for the output of three thousand tons and how much the </w:t>
      </w:r>
      <w:r>
        <w:rPr>
          <w:iCs/>
          <w:color w:val="191919" w:themeColor="background1" w:themeShade="1A"/>
          <w:sz w:val="28"/>
          <w:szCs w:val="28"/>
          <w:lang w:val="en-US"/>
        </w:rPr>
        <w:t>monopoly price is higher than the price in the perfect competitive market</w:t>
      </w:r>
      <w:r>
        <w:rPr>
          <w:color w:val="191919" w:themeColor="background1" w:themeShade="1A"/>
          <w:sz w:val="28"/>
          <w:szCs w:val="28"/>
          <w:lang w:val="en-US"/>
        </w:rPr>
        <w:t>.</w:t>
      </w:r>
    </w:p>
    <w:p>
      <w:pPr>
        <w:pStyle w:val="10"/>
        <w:shd w:val="clear" w:color="auto" w:fill="FFFFFF"/>
        <w:spacing w:before="0" w:beforeAutospacing="0" w:after="0" w:afterAutospacing="0"/>
        <w:ind w:firstLine="567"/>
        <w:jc w:val="both"/>
        <w:rPr>
          <w:b/>
          <w:color w:val="191919" w:themeColor="background1" w:themeShade="1A"/>
          <w:sz w:val="28"/>
          <w:szCs w:val="28"/>
          <w:lang w:val="en-US"/>
        </w:rPr>
      </w:pPr>
    </w:p>
    <w:p>
      <w:pPr>
        <w:shd w:val="clear" w:color="auto" w:fill="FFFFFF"/>
        <w:spacing w:after="0" w:line="240" w:lineRule="auto"/>
        <w:jc w:val="center"/>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Questions:</w:t>
      </w:r>
    </w:p>
    <w:p>
      <w:pPr>
        <w:pStyle w:val="19"/>
        <w:jc w:val="both"/>
        <w:rPr>
          <w:bCs/>
          <w:color w:val="191919" w:themeColor="background1" w:themeShade="1A"/>
          <w:sz w:val="28"/>
          <w:szCs w:val="28"/>
          <w:lang w:val="en-US"/>
        </w:rPr>
      </w:pPr>
      <w:r>
        <w:rPr>
          <w:bCs/>
          <w:color w:val="191919" w:themeColor="background1" w:themeShade="1A"/>
          <w:sz w:val="28"/>
          <w:szCs w:val="28"/>
          <w:lang w:val="en-US"/>
        </w:rPr>
        <w:t xml:space="preserve">Can you describe the Trade policy instruments? </w:t>
      </w:r>
    </w:p>
    <w:p>
      <w:pPr>
        <w:pStyle w:val="19"/>
        <w:jc w:val="both"/>
        <w:rPr>
          <w:color w:val="191919" w:themeColor="background1" w:themeShade="1A"/>
          <w:sz w:val="28"/>
          <w:szCs w:val="28"/>
          <w:lang w:val="en-US"/>
        </w:rPr>
      </w:pPr>
      <w:r>
        <w:rPr>
          <w:bCs/>
          <w:color w:val="191919" w:themeColor="background1" w:themeShade="1A"/>
          <w:sz w:val="28"/>
          <w:szCs w:val="28"/>
          <w:lang w:val="en-US"/>
        </w:rPr>
        <w:t xml:space="preserve">Tariffs and Non-Tariff Barriers to Trade: </w:t>
      </w:r>
      <w:r>
        <w:rPr>
          <w:color w:val="191919" w:themeColor="background1" w:themeShade="1A"/>
          <w:sz w:val="28"/>
          <w:szCs w:val="28"/>
          <w:lang w:val="en-US"/>
        </w:rPr>
        <w:t xml:space="preserve">-  Economics of Tariff; - Economics of Quotas; - Protectionism and Imperfect Competition. </w:t>
      </w:r>
    </w:p>
    <w:p>
      <w:pPr>
        <w:shd w:val="clear" w:color="auto" w:fill="FFFFFF"/>
        <w:spacing w:after="0" w:line="240" w:lineRule="auto"/>
        <w:jc w:val="center"/>
        <w:rPr>
          <w:rFonts w:ascii="Times New Roman" w:hAnsi="Times New Roman" w:eastAsia="Times New Roman" w:cs="Times New Roman"/>
          <w:color w:val="191919" w:themeColor="background1" w:themeShade="1A"/>
          <w:sz w:val="28"/>
          <w:szCs w:val="28"/>
          <w:lang w:val="en-US" w:eastAsia="ru-RU"/>
        </w:rPr>
      </w:pP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eastAsia="ru-RU"/>
        </w:rPr>
        <w:t>References:</w:t>
      </w:r>
    </w:p>
    <w:p>
      <w:pPr>
        <w:numPr>
          <w:ilvl w:val="0"/>
          <w:numId w:val="26"/>
        </w:numPr>
        <w:tabs>
          <w:tab w:val="left" w:pos="426"/>
          <w:tab w:val="left" w:pos="993"/>
        </w:tabs>
        <w:spacing w:after="0" w:line="240" w:lineRule="auto"/>
        <w:ind w:left="0" w:firstLine="0"/>
        <w:jc w:val="both"/>
        <w:rPr>
          <w:rFonts w:ascii="Times New Roman" w:hAnsi="Times New Roman" w:eastAsia="Times New Roman"/>
          <w:color w:val="191919" w:themeColor="background1" w:themeShade="1A"/>
          <w:sz w:val="28"/>
          <w:szCs w:val="28"/>
          <w:lang w:eastAsia="ru-RU"/>
        </w:rPr>
      </w:pPr>
      <w:r>
        <w:rPr>
          <w:rFonts w:ascii="Times New Roman" w:hAnsi="Times New Roman" w:eastAsia="Times New Roman"/>
          <w:iCs/>
          <w:color w:val="191919" w:themeColor="background1" w:themeShade="1A"/>
          <w:sz w:val="28"/>
          <w:szCs w:val="28"/>
          <w:lang w:val="en-US" w:eastAsia="ru-RU"/>
        </w:rPr>
        <w:t>Samuelson, P. (2016). "A Ricardo-Sraffa Paradigm Comparing Gains from Trade in Inputs and Finished Goods". Journa</w:t>
      </w:r>
      <w:r>
        <w:rPr>
          <w:rFonts w:ascii="Times New Roman" w:hAnsi="Times New Roman" w:eastAsia="Times New Roman"/>
          <w:iCs/>
          <w:color w:val="191919" w:themeColor="background1" w:themeShade="1A"/>
          <w:sz w:val="28"/>
          <w:szCs w:val="28"/>
          <w:lang w:eastAsia="ru-RU"/>
        </w:rPr>
        <w:t>l of Economic Literature. </w:t>
      </w:r>
      <w:r>
        <w:rPr>
          <w:rFonts w:ascii="Times New Roman" w:hAnsi="Times New Roman" w:eastAsia="Times New Roman"/>
          <w:bCs/>
          <w:iCs/>
          <w:color w:val="191919" w:themeColor="background1" w:themeShade="1A"/>
          <w:sz w:val="28"/>
          <w:szCs w:val="28"/>
          <w:lang w:eastAsia="ru-RU"/>
        </w:rPr>
        <w:t>39</w:t>
      </w:r>
      <w:r>
        <w:rPr>
          <w:rFonts w:ascii="Times New Roman" w:hAnsi="Times New Roman" w:eastAsia="Times New Roman"/>
          <w:iCs/>
          <w:color w:val="191919" w:themeColor="background1" w:themeShade="1A"/>
          <w:sz w:val="28"/>
          <w:szCs w:val="28"/>
          <w:lang w:eastAsia="ru-RU"/>
        </w:rPr>
        <w:t> (4): 1204–1214. </w:t>
      </w:r>
      <w:r>
        <w:fldChar w:fldCharType="begin"/>
      </w:r>
      <w:r>
        <w:instrText xml:space="preserve"> HYPERLINK "https://en.wikipedia.org/wiki/Digital_object_identifier" \o "Digital object identifier" </w:instrText>
      </w:r>
      <w:r>
        <w:fldChar w:fldCharType="separate"/>
      </w:r>
      <w:r>
        <w:rPr>
          <w:rFonts w:ascii="Times New Roman" w:hAnsi="Times New Roman" w:eastAsia="Times New Roman"/>
          <w:iCs/>
          <w:color w:val="191919" w:themeColor="background1" w:themeShade="1A"/>
          <w:sz w:val="28"/>
          <w:szCs w:val="28"/>
          <w:lang w:eastAsia="ru-RU"/>
        </w:rPr>
        <w:t>doi</w:t>
      </w:r>
      <w:r>
        <w:rPr>
          <w:rFonts w:ascii="Times New Roman" w:hAnsi="Times New Roman" w:eastAsia="Times New Roman"/>
          <w:iCs/>
          <w:color w:val="191919" w:themeColor="background1" w:themeShade="1A"/>
          <w:sz w:val="28"/>
          <w:szCs w:val="28"/>
          <w:lang w:eastAsia="ru-RU"/>
        </w:rPr>
        <w:fldChar w:fldCharType="end"/>
      </w:r>
      <w:r>
        <w:rPr>
          <w:rFonts w:ascii="Times New Roman" w:hAnsi="Times New Roman" w:eastAsia="Times New Roman"/>
          <w:iCs/>
          <w:color w:val="191919" w:themeColor="background1" w:themeShade="1A"/>
          <w:sz w:val="28"/>
          <w:szCs w:val="28"/>
          <w:lang w:eastAsia="ru-RU"/>
        </w:rPr>
        <w:t>:</w:t>
      </w:r>
      <w:r>
        <w:fldChar w:fldCharType="begin"/>
      </w:r>
      <w:r>
        <w:instrText xml:space="preserve"> HYPERLINK "https://doi.org/10.1257%2Fjel.39.4.1204" </w:instrText>
      </w:r>
      <w:r>
        <w:fldChar w:fldCharType="separate"/>
      </w:r>
      <w:r>
        <w:rPr>
          <w:rFonts w:ascii="Times New Roman" w:hAnsi="Times New Roman" w:eastAsia="Times New Roman"/>
          <w:iCs/>
          <w:color w:val="191919" w:themeColor="background1" w:themeShade="1A"/>
          <w:sz w:val="28"/>
          <w:szCs w:val="28"/>
          <w:lang w:eastAsia="ru-RU"/>
        </w:rPr>
        <w:t>10.1257/jel.39.4.1204</w:t>
      </w:r>
      <w:r>
        <w:rPr>
          <w:rFonts w:ascii="Times New Roman" w:hAnsi="Times New Roman" w:eastAsia="Times New Roman"/>
          <w:iCs/>
          <w:color w:val="191919" w:themeColor="background1" w:themeShade="1A"/>
          <w:sz w:val="28"/>
          <w:szCs w:val="28"/>
          <w:lang w:eastAsia="ru-RU"/>
        </w:rPr>
        <w:fldChar w:fldCharType="end"/>
      </w:r>
      <w:r>
        <w:rPr>
          <w:rFonts w:ascii="Times New Roman" w:hAnsi="Times New Roman" w:eastAsia="Times New Roman"/>
          <w:iCs/>
          <w:color w:val="191919" w:themeColor="background1" w:themeShade="1A"/>
          <w:sz w:val="28"/>
          <w:szCs w:val="28"/>
          <w:lang w:eastAsia="ru-RU"/>
        </w:rPr>
        <w:t>.</w:t>
      </w:r>
    </w:p>
    <w:p>
      <w:pPr>
        <w:numPr>
          <w:ilvl w:val="0"/>
          <w:numId w:val="26"/>
        </w:numPr>
        <w:tabs>
          <w:tab w:val="left" w:pos="426"/>
          <w:tab w:val="left" w:pos="993"/>
        </w:tabs>
        <w:spacing w:after="0" w:line="240" w:lineRule="auto"/>
        <w:ind w:left="0" w:firstLine="0"/>
        <w:jc w:val="both"/>
        <w:rPr>
          <w:rFonts w:ascii="Times New Roman" w:hAnsi="Times New Roman" w:eastAsia="Times New Roman"/>
          <w:color w:val="191919" w:themeColor="background1" w:themeShade="1A"/>
          <w:sz w:val="28"/>
          <w:szCs w:val="28"/>
          <w:lang w:eastAsia="ru-RU"/>
        </w:rPr>
      </w:pPr>
      <w:r>
        <w:rPr>
          <w:rFonts w:ascii="Times New Roman" w:hAnsi="Times New Roman" w:eastAsia="Times New Roman"/>
          <w:iCs/>
          <w:color w:val="191919" w:themeColor="background1" w:themeShade="1A"/>
          <w:sz w:val="28"/>
          <w:szCs w:val="28"/>
          <w:lang w:val="en-US" w:eastAsia="ru-RU"/>
        </w:rPr>
        <w:t>Chipman, John S. (1999). "A Survey of the Theory of International Trade: Part 1, The Classical Theory". </w:t>
      </w:r>
      <w:r>
        <w:rPr>
          <w:rFonts w:ascii="Times New Roman" w:hAnsi="Times New Roman" w:eastAsia="Times New Roman"/>
          <w:iCs/>
          <w:color w:val="191919" w:themeColor="background1" w:themeShade="1A"/>
          <w:sz w:val="28"/>
          <w:szCs w:val="28"/>
          <w:lang w:eastAsia="ru-RU"/>
        </w:rPr>
        <w:t>Econometrica. </w:t>
      </w:r>
      <w:r>
        <w:rPr>
          <w:rFonts w:ascii="Times New Roman" w:hAnsi="Times New Roman" w:eastAsia="Times New Roman"/>
          <w:bCs/>
          <w:iCs/>
          <w:color w:val="191919" w:themeColor="background1" w:themeShade="1A"/>
          <w:sz w:val="28"/>
          <w:szCs w:val="28"/>
          <w:lang w:eastAsia="ru-RU"/>
        </w:rPr>
        <w:t>33</w:t>
      </w:r>
      <w:r>
        <w:rPr>
          <w:rFonts w:ascii="Times New Roman" w:hAnsi="Times New Roman" w:eastAsia="Times New Roman"/>
          <w:iCs/>
          <w:color w:val="191919" w:themeColor="background1" w:themeShade="1A"/>
          <w:sz w:val="28"/>
          <w:szCs w:val="28"/>
          <w:lang w:eastAsia="ru-RU"/>
        </w:rPr>
        <w:t> (3):</w:t>
      </w:r>
      <w:r>
        <w:rPr>
          <w:rFonts w:ascii="Times New Roman" w:hAnsi="Times New Roman" w:eastAsia="Times New Roman"/>
          <w:iCs/>
          <w:color w:val="191919" w:themeColor="background1" w:themeShade="1A"/>
          <w:sz w:val="28"/>
          <w:szCs w:val="28"/>
          <w:lang w:val="en-US" w:eastAsia="ru-RU"/>
        </w:rPr>
        <w:t xml:space="preserve"> </w:t>
      </w:r>
      <w:r>
        <w:rPr>
          <w:rFonts w:ascii="Times New Roman" w:hAnsi="Times New Roman" w:eastAsia="Times New Roman"/>
          <w:iCs/>
          <w:color w:val="191919" w:themeColor="background1" w:themeShade="1A"/>
          <w:sz w:val="28"/>
          <w:szCs w:val="28"/>
          <w:lang w:eastAsia="ru-RU"/>
        </w:rPr>
        <w:t>477–519</w:t>
      </w:r>
      <w:r>
        <w:rPr>
          <w:rFonts w:ascii="Times New Roman" w:hAnsi="Times New Roman" w:eastAsia="Times New Roman"/>
          <w:iCs/>
          <w:color w:val="191919" w:themeColor="background1" w:themeShade="1A"/>
          <w:sz w:val="28"/>
          <w:szCs w:val="28"/>
          <w:lang w:val="en-US" w:eastAsia="ru-RU"/>
        </w:rPr>
        <w:t xml:space="preserve"> </w:t>
      </w:r>
      <w:r>
        <w:rPr>
          <w:rFonts w:ascii="Times New Roman" w:hAnsi="Times New Roman" w:eastAsia="Times New Roman"/>
          <w:iCs/>
          <w:color w:val="191919" w:themeColor="background1" w:themeShade="1A"/>
          <w:sz w:val="28"/>
          <w:szCs w:val="28"/>
          <w:lang w:eastAsia="ru-RU"/>
        </w:rPr>
        <w:t>Section 1.8. </w:t>
      </w:r>
      <w:r>
        <w:fldChar w:fldCharType="begin"/>
      </w:r>
      <w:r>
        <w:instrText xml:space="preserve"> HYPERLINK "https://en.wikipedia.org/wiki/Digital_object_identifier" \o "Digital object identifier" </w:instrText>
      </w:r>
      <w:r>
        <w:fldChar w:fldCharType="separate"/>
      </w:r>
      <w:r>
        <w:rPr>
          <w:rFonts w:ascii="Times New Roman" w:hAnsi="Times New Roman" w:eastAsia="Times New Roman"/>
          <w:iCs/>
          <w:color w:val="191919" w:themeColor="background1" w:themeShade="1A"/>
          <w:sz w:val="28"/>
          <w:szCs w:val="28"/>
          <w:lang w:eastAsia="ru-RU"/>
        </w:rPr>
        <w:t>doi</w:t>
      </w:r>
      <w:r>
        <w:rPr>
          <w:rFonts w:ascii="Times New Roman" w:hAnsi="Times New Roman" w:eastAsia="Times New Roman"/>
          <w:iCs/>
          <w:color w:val="191919" w:themeColor="background1" w:themeShade="1A"/>
          <w:sz w:val="28"/>
          <w:szCs w:val="28"/>
          <w:lang w:eastAsia="ru-RU"/>
        </w:rPr>
        <w:fldChar w:fldCharType="end"/>
      </w:r>
      <w:r>
        <w:rPr>
          <w:rFonts w:ascii="Times New Roman" w:hAnsi="Times New Roman" w:eastAsia="Times New Roman"/>
          <w:iCs/>
          <w:color w:val="191919" w:themeColor="background1" w:themeShade="1A"/>
          <w:sz w:val="28"/>
          <w:szCs w:val="28"/>
          <w:lang w:eastAsia="ru-RU"/>
        </w:rPr>
        <w:t>:</w:t>
      </w:r>
      <w:r>
        <w:fldChar w:fldCharType="begin"/>
      </w:r>
      <w:r>
        <w:instrText xml:space="preserve"> HYPERLINK "https://doi.org/10.2307%2F1911748" </w:instrText>
      </w:r>
      <w:r>
        <w:fldChar w:fldCharType="separate"/>
      </w:r>
      <w:r>
        <w:rPr>
          <w:rFonts w:ascii="Times New Roman" w:hAnsi="Times New Roman" w:eastAsia="Times New Roman"/>
          <w:iCs/>
          <w:color w:val="191919" w:themeColor="background1" w:themeShade="1A"/>
          <w:sz w:val="28"/>
          <w:szCs w:val="28"/>
          <w:lang w:eastAsia="ru-RU"/>
        </w:rPr>
        <w:t>10.2307/1911748</w:t>
      </w:r>
      <w:r>
        <w:rPr>
          <w:rFonts w:ascii="Times New Roman" w:hAnsi="Times New Roman" w:eastAsia="Times New Roman"/>
          <w:iCs/>
          <w:color w:val="191919" w:themeColor="background1" w:themeShade="1A"/>
          <w:sz w:val="28"/>
          <w:szCs w:val="28"/>
          <w:lang w:eastAsia="ru-RU"/>
        </w:rPr>
        <w:fldChar w:fldCharType="end"/>
      </w:r>
      <w:r>
        <w:rPr>
          <w:rFonts w:ascii="Times New Roman" w:hAnsi="Times New Roman" w:eastAsia="Times New Roman"/>
          <w:iCs/>
          <w:color w:val="191919" w:themeColor="background1" w:themeShade="1A"/>
          <w:sz w:val="28"/>
          <w:szCs w:val="28"/>
          <w:lang w:eastAsia="ru-RU"/>
        </w:rPr>
        <w:t>.</w:t>
      </w:r>
    </w:p>
    <w:p>
      <w:pPr>
        <w:numPr>
          <w:ilvl w:val="0"/>
          <w:numId w:val="26"/>
        </w:numPr>
        <w:tabs>
          <w:tab w:val="left" w:pos="426"/>
          <w:tab w:val="left" w:pos="993"/>
        </w:tabs>
        <w:spacing w:after="0" w:line="240" w:lineRule="auto"/>
        <w:ind w:left="0" w:firstLine="0"/>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 </w:t>
      </w:r>
      <w:r>
        <w:fldChar w:fldCharType="begin"/>
      </w:r>
      <w:r>
        <w:instrText xml:space="preserve"> HYPERLINK "http://www.imf.org/external/pubs/ft/weo/2017/01/weodata/weorept.aspx?pr.x=54&amp;pr.y=16&amp;sy=2013&amp;ey=2020&amp;scsm=1&amp;sort=country&amp;ds=.&amp;br=1&amp;c=512%2C668%2C914%2C672%2C612%2C946%2C614%2C137%2C311%2C962%2C213%2C674%2C911%2C676%2C193%2C548%2C122%2C556%2C912%2C678%2C313%2C181%2C419%2C867%2C513%2C682%2C316%2C684%2C913%2C273%2C124%2C868%2C339%2C921%2C638%2C948%2C514%2C943%2C218%2C686%2C963%2C688%2C616%2C518%2C223%2C728%2C516%2C558%2C918%2C138%2C748%2C196%2C618%2C278%2C624%2C692%2C522%2C694%2C622%2C142%2C156%2C449%2C626%2C564%2C628%2C565%2C228%2C283%2C924%2C853%2C233%2C288%2C632%2C293%2C636%2C566%2C634%2C964%2C238%2C182%2C662%2C453%2C960%2C968%2C423%2C922%2C935%2C714%2C128%2C862%2C611%2C135%2C321%2C716%2C243%2C456%2C248%2C722%2C469%2C942%2C253%2C718%2C642%2C724%2C643%2C576%2C939%2C936%2C644%2C961%2C819%2C813%2C172%2C199%2C132%2C733%2C646%2C184%2C648%2C524%2C915%2C361%2C134%2C362%2C652%2C364%2C174%2C732%2C328%2C366%2C258%2C734%2C656%2C144%2C654%2C146%2C336%2C463%2C263%2C528%2C268%2C923%2C532%2C738%2C944%2C578%2C176%2C537%2C534%2C742%2C536%2C866%2C429%2C369%2C433%2C744%2C178%2C186%2C436%2C925%2C136%2C869%2C343%2C746%2C158%2C926%2C439%2C466%2C916%2C112%2C664%2C111%2C826%2C298%2C542%2C927%2C967%2C846%2C443%2C299%2C917%2C582%2C544%2C474%2C941%2C754%2C446%2C698%2C666&amp;s=PPPGDP&amp;grp=0&amp;a=" </w:instrText>
      </w:r>
      <w:r>
        <w:fldChar w:fldCharType="separate"/>
      </w:r>
      <w:r>
        <w:rPr>
          <w:rStyle w:val="13"/>
          <w:rFonts w:ascii="Times New Roman" w:hAnsi="Times New Roman"/>
          <w:iCs/>
          <w:color w:val="191919" w:themeColor="background1" w:themeShade="1A"/>
          <w:sz w:val="28"/>
          <w:szCs w:val="28"/>
          <w:lang w:val="en-US"/>
        </w:rPr>
        <w:t>"Gross domestic product based on purchasing-power-parity (PPP) valuation of country GDP; Current international dollar"</w:t>
      </w:r>
      <w:r>
        <w:rPr>
          <w:rStyle w:val="13"/>
          <w:rFonts w:ascii="Times New Roman" w:hAnsi="Times New Roman"/>
          <w:iCs/>
          <w:color w:val="191919" w:themeColor="background1" w:themeShade="1A"/>
          <w:sz w:val="28"/>
          <w:szCs w:val="28"/>
          <w:lang w:val="en-US"/>
        </w:rPr>
        <w:fldChar w:fldCharType="end"/>
      </w:r>
      <w:r>
        <w:rPr>
          <w:rStyle w:val="15"/>
          <w:rFonts w:ascii="Times New Roman" w:hAnsi="Times New Roman"/>
          <w:i w:val="0"/>
          <w:color w:val="191919" w:themeColor="background1" w:themeShade="1A"/>
          <w:sz w:val="28"/>
          <w:szCs w:val="28"/>
          <w:lang w:val="en-US"/>
        </w:rPr>
        <w:t>. International Monetary Fund. April 2017</w:t>
      </w:r>
      <w:r>
        <w:rPr>
          <w:rStyle w:val="26"/>
          <w:rFonts w:ascii="Times New Roman" w:hAnsi="Times New Roman"/>
          <w:iCs/>
          <w:color w:val="191919" w:themeColor="background1" w:themeShade="1A"/>
          <w:sz w:val="28"/>
          <w:szCs w:val="28"/>
          <w:lang w:val="en-US"/>
        </w:rPr>
        <w:t>. Retrieved </w:t>
      </w:r>
      <w:r>
        <w:rPr>
          <w:rStyle w:val="24"/>
          <w:rFonts w:ascii="Times New Roman" w:hAnsi="Times New Roman"/>
          <w:iCs/>
          <w:color w:val="191919" w:themeColor="background1" w:themeShade="1A"/>
          <w:sz w:val="28"/>
          <w:szCs w:val="28"/>
          <w:lang w:val="en-US"/>
        </w:rPr>
        <w:t>14 May</w:t>
      </w:r>
      <w:r>
        <w:rPr>
          <w:rStyle w:val="26"/>
          <w:rFonts w:ascii="Times New Roman" w:hAnsi="Times New Roman"/>
          <w:iCs/>
          <w:color w:val="191919" w:themeColor="background1" w:themeShade="1A"/>
          <w:sz w:val="28"/>
          <w:szCs w:val="28"/>
          <w:lang w:val="en-US"/>
        </w:rPr>
        <w:t> 2017</w:t>
      </w:r>
      <w:r>
        <w:rPr>
          <w:rStyle w:val="15"/>
          <w:rFonts w:ascii="Times New Roman" w:hAnsi="Times New Roman"/>
          <w:i w:val="0"/>
          <w:color w:val="191919" w:themeColor="background1" w:themeShade="1A"/>
          <w:sz w:val="28"/>
          <w:szCs w:val="28"/>
          <w:lang w:val="en-US"/>
        </w:rPr>
        <w:t>.</w:t>
      </w:r>
    </w:p>
    <w:p>
      <w:pPr>
        <w:numPr>
          <w:ilvl w:val="0"/>
          <w:numId w:val="26"/>
        </w:numPr>
        <w:tabs>
          <w:tab w:val="left" w:pos="426"/>
          <w:tab w:val="left" w:pos="993"/>
        </w:tabs>
        <w:spacing w:after="0" w:line="240" w:lineRule="auto"/>
        <w:ind w:left="0" w:firstLine="0"/>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 </w:t>
      </w:r>
      <w:r>
        <w:fldChar w:fldCharType="begin"/>
      </w:r>
      <w:r>
        <w:instrText xml:space="preserve"> HYPERLINK "https://www.cia.gov/library/publications/the-world-factbook/fields/2001.html" </w:instrText>
      </w:r>
      <w:r>
        <w:fldChar w:fldCharType="separate"/>
      </w:r>
      <w:r>
        <w:rPr>
          <w:rStyle w:val="13"/>
          <w:rFonts w:ascii="Times New Roman" w:hAnsi="Times New Roman"/>
          <w:iCs/>
          <w:color w:val="191919" w:themeColor="background1" w:themeShade="1A"/>
          <w:sz w:val="28"/>
          <w:szCs w:val="28"/>
          <w:lang w:val="en-US"/>
        </w:rPr>
        <w:t>"GDP (PURCHASING POWER PARITY)"</w:t>
      </w:r>
      <w:r>
        <w:rPr>
          <w:rStyle w:val="13"/>
          <w:rFonts w:ascii="Times New Roman" w:hAnsi="Times New Roman"/>
          <w:iCs/>
          <w:color w:val="191919" w:themeColor="background1" w:themeShade="1A"/>
          <w:sz w:val="28"/>
          <w:szCs w:val="28"/>
          <w:lang w:val="en-US"/>
        </w:rPr>
        <w:fldChar w:fldCharType="end"/>
      </w:r>
      <w:r>
        <w:rPr>
          <w:rStyle w:val="15"/>
          <w:rFonts w:ascii="Times New Roman" w:hAnsi="Times New Roman"/>
          <w:i w:val="0"/>
          <w:color w:val="191919" w:themeColor="background1" w:themeShade="1A"/>
          <w:sz w:val="28"/>
          <w:szCs w:val="28"/>
          <w:lang w:val="en-US"/>
        </w:rPr>
        <w:t>. CIA World Factbook. CIA World Factbook. 2016</w:t>
      </w:r>
      <w:r>
        <w:rPr>
          <w:rStyle w:val="26"/>
          <w:rFonts w:ascii="Times New Roman" w:hAnsi="Times New Roman"/>
          <w:iCs/>
          <w:color w:val="191919" w:themeColor="background1" w:themeShade="1A"/>
          <w:sz w:val="28"/>
          <w:szCs w:val="28"/>
          <w:lang w:val="en-US"/>
        </w:rPr>
        <w:t>. Retrieved </w:t>
      </w:r>
      <w:r>
        <w:rPr>
          <w:rStyle w:val="24"/>
          <w:rFonts w:ascii="Times New Roman" w:hAnsi="Times New Roman"/>
          <w:iCs/>
          <w:color w:val="191919" w:themeColor="background1" w:themeShade="1A"/>
          <w:sz w:val="28"/>
          <w:szCs w:val="28"/>
          <w:lang w:val="en-US"/>
        </w:rPr>
        <w:t>October 7,</w:t>
      </w:r>
      <w:r>
        <w:rPr>
          <w:rStyle w:val="26"/>
          <w:rFonts w:ascii="Times New Roman" w:hAnsi="Times New Roman"/>
          <w:iCs/>
          <w:color w:val="191919" w:themeColor="background1" w:themeShade="1A"/>
          <w:sz w:val="28"/>
          <w:szCs w:val="28"/>
          <w:lang w:val="en-US"/>
        </w:rPr>
        <w:t> 2016</w:t>
      </w:r>
      <w:r>
        <w:rPr>
          <w:rStyle w:val="15"/>
          <w:rFonts w:ascii="Times New Roman" w:hAnsi="Times New Roman"/>
          <w:i w:val="0"/>
          <w:color w:val="191919" w:themeColor="background1" w:themeShade="1A"/>
          <w:sz w:val="28"/>
          <w:szCs w:val="28"/>
          <w:lang w:val="en-US"/>
        </w:rPr>
        <w:t>.</w:t>
      </w:r>
    </w:p>
    <w:p>
      <w:pPr>
        <w:numPr>
          <w:ilvl w:val="0"/>
          <w:numId w:val="26"/>
        </w:numPr>
        <w:tabs>
          <w:tab w:val="left" w:pos="426"/>
          <w:tab w:val="left" w:pos="993"/>
        </w:tabs>
        <w:spacing w:after="0" w:line="240" w:lineRule="auto"/>
        <w:ind w:left="0" w:firstLine="0"/>
        <w:jc w:val="both"/>
        <w:rPr>
          <w:rFonts w:ascii="Times New Roman" w:hAnsi="Times New Roman"/>
          <w:color w:val="191919" w:themeColor="background1" w:themeShade="1A"/>
          <w:sz w:val="28"/>
          <w:szCs w:val="28"/>
          <w:lang w:val="en-US"/>
        </w:rPr>
      </w:pPr>
      <w:r>
        <w:rPr>
          <w:rFonts w:ascii="Times New Roman" w:hAnsi="Times New Roman"/>
          <w:color w:val="191919" w:themeColor="background1" w:themeShade="1A"/>
          <w:sz w:val="28"/>
          <w:szCs w:val="28"/>
          <w:lang w:val="en-US"/>
        </w:rPr>
        <w:t> </w:t>
      </w:r>
      <w:r>
        <w:fldChar w:fldCharType="begin"/>
      </w:r>
      <w:r>
        <w:instrText xml:space="preserve"> HYPERLINK "http://www.imf.org/external/pubs/ft/weo/2009/01/index.htm" </w:instrText>
      </w:r>
      <w:r>
        <w:fldChar w:fldCharType="separate"/>
      </w:r>
      <w:r>
        <w:rPr>
          <w:rStyle w:val="13"/>
          <w:rFonts w:ascii="Times New Roman" w:hAnsi="Times New Roman"/>
          <w:iCs/>
          <w:color w:val="191919" w:themeColor="background1" w:themeShade="1A"/>
          <w:sz w:val="28"/>
          <w:szCs w:val="28"/>
          <w:lang w:val="en-US"/>
        </w:rPr>
        <w:t>"IMF World Economic Outlook, Crisis and Recovery, April 2017"</w:t>
      </w:r>
      <w:r>
        <w:rPr>
          <w:rStyle w:val="13"/>
          <w:rFonts w:ascii="Times New Roman" w:hAnsi="Times New Roman"/>
          <w:iCs/>
          <w:color w:val="191919" w:themeColor="background1" w:themeShade="1A"/>
          <w:sz w:val="28"/>
          <w:szCs w:val="28"/>
          <w:lang w:val="en-US"/>
        </w:rPr>
        <w:fldChar w:fldCharType="end"/>
      </w:r>
      <w:r>
        <w:rPr>
          <w:rStyle w:val="15"/>
          <w:rFonts w:ascii="Times New Roman" w:hAnsi="Times New Roman"/>
          <w:i w:val="0"/>
          <w:color w:val="191919" w:themeColor="background1" w:themeShade="1A"/>
          <w:sz w:val="28"/>
          <w:szCs w:val="28"/>
          <w:lang w:val="en-US"/>
        </w:rPr>
        <w:t>. Imf.org. 2017-04-16</w:t>
      </w:r>
      <w:r>
        <w:rPr>
          <w:rStyle w:val="26"/>
          <w:rFonts w:ascii="Times New Roman" w:hAnsi="Times New Roman"/>
          <w:iCs/>
          <w:color w:val="191919" w:themeColor="background1" w:themeShade="1A"/>
          <w:sz w:val="28"/>
          <w:szCs w:val="28"/>
          <w:lang w:val="en-US"/>
        </w:rPr>
        <w:t>. Retrieved </w:t>
      </w:r>
      <w:r>
        <w:rPr>
          <w:rStyle w:val="24"/>
          <w:rFonts w:ascii="Times New Roman" w:hAnsi="Times New Roman"/>
          <w:iCs/>
          <w:color w:val="191919" w:themeColor="background1" w:themeShade="1A"/>
          <w:sz w:val="28"/>
          <w:szCs w:val="28"/>
          <w:lang w:val="en-US"/>
        </w:rPr>
        <w:t>2017-07-17</w:t>
      </w:r>
      <w:r>
        <w:rPr>
          <w:rStyle w:val="15"/>
          <w:rFonts w:ascii="Times New Roman" w:hAnsi="Times New Roman"/>
          <w:i w:val="0"/>
          <w:color w:val="191919" w:themeColor="background1" w:themeShade="1A"/>
          <w:sz w:val="28"/>
          <w:szCs w:val="28"/>
          <w:lang w:val="en-US"/>
        </w:rPr>
        <w:t>.</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pStyle w:val="19"/>
        <w:jc w:val="both"/>
        <w:rPr>
          <w:color w:val="191919" w:themeColor="background1" w:themeShade="1A"/>
          <w:sz w:val="28"/>
          <w:szCs w:val="28"/>
          <w:lang w:val="en-US"/>
        </w:rPr>
      </w:pPr>
      <w:r>
        <w:rPr>
          <w:b/>
          <w:bCs/>
          <w:color w:val="191919" w:themeColor="background1" w:themeShade="1A"/>
          <w:sz w:val="28"/>
          <w:szCs w:val="28"/>
          <w:lang w:val="en-US"/>
        </w:rPr>
        <w:t xml:space="preserve">Subject 6. Consumption patterns in the global economy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A link to microeconomics: Demand and supply curve and main determinants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Main consumption theories. Engel curve. </w:t>
      </w:r>
    </w:p>
    <w:p>
      <w:pPr>
        <w:shd w:val="clear" w:color="auto" w:fill="FFFFFF"/>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Main trends in consumption. Changes in the structure of consumption.</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The analysis of national models of market economy from the point of view of consumption is also important in order to understand the place of any state in the world civilization process. To create a “healthy” market environment, at least three conditions must be met:</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formation of a civil society that complies with international standards and ensures free access to the consumer goods and services market for each individual, regardless of the level of his social position;</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Ensuring social stability and social protection of all sectors of society, including entrepreneurs;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Protection of competitive relations in the national market for a long period.</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The interaction of various elements of the world market is carried out through fluctuations in supply and demand, which determine the process of reproduction of world social capital. The global social capital is a complex, dynamic system of corporate and individual capital, the functioning efficiency of which is manifested through the sale and purchase of goods and services. Consumption is central to the global reproduction process. It is in this phase that the product acquires its social significance.</w:t>
      </w:r>
    </w:p>
    <w:p>
      <w:pPr>
        <w:spacing w:after="0"/>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For the period from 1950 to 1995. national economies have gone through three stages of development of market structures that differ:</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Types of personal consumption;</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Systems for the production of consumer goods;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Types of costs and the nature of investments;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nature of management relations (the relationship of labor - capital);</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degree of openness of the economy.</w:t>
      </w:r>
    </w:p>
    <w:p>
      <w:pPr>
        <w:spacing w:after="0"/>
        <w:jc w:val="both"/>
        <w:rPr>
          <w:rFonts w:ascii="Times New Roman" w:hAnsi="Times New Roman" w:cs="Times New Roman"/>
          <w:color w:val="191919" w:themeColor="background1" w:themeShade="1A"/>
          <w:sz w:val="28"/>
          <w:szCs w:val="28"/>
          <w:lang w:val="en-US"/>
        </w:rPr>
      </w:pPr>
    </w:p>
    <w:p>
      <w:pPr>
        <w:jc w:val="both"/>
        <w:rPr>
          <w:rStyle w:val="31"/>
          <w:rFonts w:ascii="Times New Roman" w:hAnsi="Times New Roman" w:cs="Times New Roman"/>
          <w:color w:val="191919" w:themeColor="background1" w:themeShade="1A"/>
          <w:sz w:val="28"/>
          <w:szCs w:val="28"/>
          <w:lang w:val="en-US"/>
        </w:rPr>
      </w:pPr>
      <w:r>
        <w:rPr>
          <w:rStyle w:val="31"/>
          <w:rFonts w:ascii="Times New Roman" w:hAnsi="Times New Roman" w:cs="Times New Roman"/>
          <w:color w:val="191919" w:themeColor="background1" w:themeShade="1A"/>
          <w:sz w:val="28"/>
          <w:szCs w:val="28"/>
          <w:lang w:val="en-US"/>
        </w:rPr>
        <w:t>Classification of market patterns by type of consumption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2126"/>
        <w:gridCol w:w="1560"/>
        <w:gridCol w:w="1842"/>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tcPr>
          <w:p>
            <w:pPr>
              <w:spacing w:after="0" w:line="240" w:lineRule="auto"/>
              <w:jc w:val="center"/>
              <w:rPr>
                <w:rFonts w:ascii="Times New Roman" w:hAnsi="Times New Roman" w:cs="Times New Roman"/>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Dominant</w:t>
            </w:r>
            <w:r>
              <w:rPr>
                <w:rFonts w:ascii="Times New Roman" w:hAnsi="Times New Roman" w:cs="Times New Roman"/>
                <w:color w:val="191919" w:themeColor="background1" w:themeShade="1A"/>
                <w:sz w:val="24"/>
                <w:szCs w:val="24"/>
              </w:rPr>
              <w:br w:type="textWrapping"/>
            </w:r>
            <w:r>
              <w:rPr>
                <w:rStyle w:val="31"/>
                <w:rFonts w:ascii="Times New Roman" w:hAnsi="Times New Roman" w:cs="Times New Roman"/>
                <w:color w:val="191919" w:themeColor="background1" w:themeShade="1A"/>
                <w:sz w:val="24"/>
                <w:szCs w:val="24"/>
              </w:rPr>
              <w:t>type of consumption</w:t>
            </w:r>
          </w:p>
        </w:tc>
        <w:tc>
          <w:tcPr>
            <w:tcW w:w="2126" w:type="dxa"/>
          </w:tcPr>
          <w:p>
            <w:pPr>
              <w:spacing w:after="0" w:line="240" w:lineRule="auto"/>
              <w:jc w:val="center"/>
              <w:rPr>
                <w:rFonts w:ascii="Times New Roman" w:hAnsi="Times New Roman" w:cs="Times New Roman"/>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System</w:t>
            </w:r>
            <w:r>
              <w:rPr>
                <w:rFonts w:ascii="Times New Roman" w:hAnsi="Times New Roman" w:cs="Times New Roman"/>
                <w:color w:val="191919" w:themeColor="background1" w:themeShade="1A"/>
                <w:sz w:val="24"/>
                <w:szCs w:val="24"/>
              </w:rPr>
              <w:br w:type="textWrapping"/>
            </w:r>
            <w:r>
              <w:rPr>
                <w:rStyle w:val="31"/>
                <w:rFonts w:ascii="Times New Roman" w:hAnsi="Times New Roman" w:cs="Times New Roman"/>
                <w:color w:val="191919" w:themeColor="background1" w:themeShade="1A"/>
                <w:sz w:val="24"/>
                <w:szCs w:val="24"/>
              </w:rPr>
              <w:t>production</w:t>
            </w:r>
          </w:p>
        </w:tc>
        <w:tc>
          <w:tcPr>
            <w:tcW w:w="1560" w:type="dxa"/>
          </w:tcPr>
          <w:p>
            <w:pPr>
              <w:spacing w:after="0" w:line="240" w:lineRule="auto"/>
              <w:jc w:val="center"/>
              <w:rPr>
                <w:rFonts w:ascii="Times New Roman" w:hAnsi="Times New Roman" w:cs="Times New Roman"/>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Type of</w:t>
            </w:r>
            <w:r>
              <w:rPr>
                <w:rFonts w:ascii="Times New Roman" w:hAnsi="Times New Roman" w:cs="Times New Roman"/>
                <w:color w:val="191919" w:themeColor="background1" w:themeShade="1A"/>
                <w:sz w:val="24"/>
                <w:szCs w:val="24"/>
              </w:rPr>
              <w:br w:type="textWrapping"/>
            </w:r>
            <w:r>
              <w:rPr>
                <w:rStyle w:val="31"/>
                <w:rFonts w:ascii="Times New Roman" w:hAnsi="Times New Roman" w:cs="Times New Roman"/>
                <w:color w:val="191919" w:themeColor="background1" w:themeShade="1A"/>
                <w:sz w:val="24"/>
                <w:szCs w:val="24"/>
              </w:rPr>
              <w:t>costs</w:t>
            </w:r>
          </w:p>
        </w:tc>
        <w:tc>
          <w:tcPr>
            <w:tcW w:w="1842" w:type="dxa"/>
          </w:tcPr>
          <w:p>
            <w:pPr>
              <w:spacing w:after="0" w:line="240" w:lineRule="auto"/>
              <w:jc w:val="center"/>
              <w:rPr>
                <w:rFonts w:ascii="Times New Roman" w:hAnsi="Times New Roman" w:cs="Times New Roman"/>
                <w:color w:val="191919" w:themeColor="background1" w:themeShade="1A"/>
                <w:sz w:val="24"/>
                <w:szCs w:val="24"/>
                <w:lang w:val="en-US"/>
              </w:rPr>
            </w:pPr>
            <w:r>
              <w:rPr>
                <w:rFonts w:ascii="Times New Roman" w:hAnsi="Times New Roman" w:cs="Times New Roman"/>
                <w:color w:val="191919" w:themeColor="background1" w:themeShade="1A"/>
                <w:sz w:val="24"/>
                <w:szCs w:val="24"/>
                <w:lang w:val="en-US"/>
              </w:rPr>
              <w:t>The nature of management relations</w:t>
            </w:r>
          </w:p>
        </w:tc>
        <w:tc>
          <w:tcPr>
            <w:tcW w:w="1525" w:type="dxa"/>
          </w:tcPr>
          <w:p>
            <w:pPr>
              <w:spacing w:after="0" w:line="240" w:lineRule="auto"/>
              <w:jc w:val="center"/>
              <w:rPr>
                <w:rFonts w:ascii="Times New Roman" w:hAnsi="Times New Roman" w:cs="Times New Roman"/>
                <w:color w:val="191919" w:themeColor="background1" w:themeShade="1A"/>
                <w:sz w:val="24"/>
                <w:szCs w:val="24"/>
                <w:lang w:val="en-US"/>
              </w:rPr>
            </w:pPr>
            <w:r>
              <w:rPr>
                <w:rFonts w:ascii="Times New Roman" w:hAnsi="Times New Roman" w:cs="Times New Roman"/>
                <w:color w:val="191919" w:themeColor="background1" w:themeShade="1A"/>
                <w:sz w:val="24"/>
                <w:szCs w:val="24"/>
                <w:lang w:val="en-US"/>
              </w:rPr>
              <w:t>Degree of openness of the economy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after="0" w:line="240" w:lineRule="auto"/>
              <w:jc w:val="both"/>
              <w:rPr>
                <w:rFonts w:ascii="Times New Roman" w:hAnsi="Times New Roman" w:cs="Times New Roman"/>
                <w:b/>
                <w:color w:val="191919" w:themeColor="background1" w:themeShade="1A"/>
                <w:sz w:val="24"/>
                <w:szCs w:val="24"/>
                <w:lang w:val="en-US"/>
              </w:rPr>
            </w:pPr>
            <w:r>
              <w:rPr>
                <w:rFonts w:ascii="Times New Roman" w:hAnsi="Times New Roman" w:cs="Times New Roman"/>
                <w:color w:val="191919" w:themeColor="background1" w:themeShade="1A"/>
                <w:sz w:val="24"/>
                <w:szCs w:val="24"/>
                <w:lang w:val="en-US"/>
              </w:rPr>
              <w:t>Satisfying primary needs for food, clothing, housing</w:t>
            </w:r>
          </w:p>
        </w:tc>
        <w:tc>
          <w:tcPr>
            <w:tcW w:w="2126" w:type="dxa"/>
          </w:tcPr>
          <w:p>
            <w:pPr>
              <w:spacing w:after="0" w:line="240" w:lineRule="auto"/>
              <w:jc w:val="both"/>
              <w:rPr>
                <w:rFonts w:ascii="Times New Roman" w:hAnsi="Times New Roman" w:cs="Times New Roman"/>
                <w:color w:val="191919" w:themeColor="background1" w:themeShade="1A"/>
                <w:sz w:val="24"/>
                <w:szCs w:val="24"/>
                <w:lang w:val="en-US"/>
              </w:rPr>
            </w:pPr>
            <w:r>
              <w:rPr>
                <w:rFonts w:ascii="Times New Roman" w:hAnsi="Times New Roman" w:cs="Times New Roman"/>
                <w:color w:val="191919" w:themeColor="background1" w:themeShade="1A"/>
                <w:sz w:val="24"/>
                <w:szCs w:val="24"/>
                <w:lang w:val="en-US"/>
              </w:rPr>
              <w:t>needs for food, clothing, housing</w:t>
            </w:r>
          </w:p>
          <w:p>
            <w:pPr>
              <w:spacing w:after="0" w:line="240" w:lineRule="auto"/>
              <w:jc w:val="both"/>
              <w:rPr>
                <w:rFonts w:ascii="Times New Roman" w:hAnsi="Times New Roman" w:cs="Times New Roman"/>
                <w:b/>
                <w:color w:val="191919" w:themeColor="background1" w:themeShade="1A"/>
                <w:sz w:val="24"/>
                <w:szCs w:val="24"/>
                <w:lang w:val="en-US"/>
              </w:rPr>
            </w:pPr>
            <w:r>
              <w:rPr>
                <w:rFonts w:ascii="Times New Roman" w:hAnsi="Times New Roman" w:cs="Times New Roman"/>
                <w:color w:val="191919" w:themeColor="background1" w:themeShade="1A"/>
                <w:sz w:val="24"/>
                <w:szCs w:val="24"/>
                <w:lang w:val="en-US"/>
              </w:rPr>
              <w:t>Serial (limited)</w:t>
            </w:r>
          </w:p>
        </w:tc>
        <w:tc>
          <w:tcPr>
            <w:tcW w:w="1560" w:type="dxa"/>
          </w:tcPr>
          <w:p>
            <w:pPr>
              <w:spacing w:after="0" w:line="240" w:lineRule="auto"/>
              <w:jc w:val="both"/>
              <w:rPr>
                <w:rStyle w:val="31"/>
                <w:rFonts w:ascii="Times New Roman" w:hAnsi="Times New Roman" w:cs="Times New Roman"/>
                <w:color w:val="191919" w:themeColor="background1" w:themeShade="1A"/>
                <w:sz w:val="24"/>
                <w:szCs w:val="24"/>
              </w:rPr>
            </w:pPr>
            <w:r>
              <w:rPr>
                <w:rStyle w:val="31"/>
                <w:rFonts w:ascii="Times New Roman" w:hAnsi="Times New Roman" w:cs="Times New Roman"/>
                <w:color w:val="191919" w:themeColor="background1" w:themeShade="1A"/>
                <w:sz w:val="24"/>
                <w:szCs w:val="24"/>
              </w:rPr>
              <w:t>Labor</w:t>
            </w:r>
          </w:p>
          <w:p>
            <w:pPr>
              <w:spacing w:after="0" w:line="240" w:lineRule="auto"/>
              <w:jc w:val="both"/>
              <w:rPr>
                <w:rFonts w:ascii="Times New Roman" w:hAnsi="Times New Roman" w:cs="Times New Roman"/>
                <w:b/>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capacious</w:t>
            </w:r>
          </w:p>
        </w:tc>
        <w:tc>
          <w:tcPr>
            <w:tcW w:w="1842" w:type="dxa"/>
          </w:tcPr>
          <w:p>
            <w:pPr>
              <w:spacing w:after="0" w:line="240" w:lineRule="auto"/>
              <w:jc w:val="both"/>
              <w:rPr>
                <w:rFonts w:ascii="Times New Roman" w:hAnsi="Times New Roman" w:cs="Times New Roman"/>
                <w:b/>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Authoritarian-administrative</w:t>
            </w:r>
          </w:p>
        </w:tc>
        <w:tc>
          <w:tcPr>
            <w:tcW w:w="1525" w:type="dxa"/>
          </w:tcPr>
          <w:p>
            <w:pPr>
              <w:spacing w:after="0" w:line="240" w:lineRule="auto"/>
              <w:jc w:val="both"/>
              <w:rPr>
                <w:rFonts w:ascii="Times New Roman" w:hAnsi="Times New Roman" w:cs="Times New Roman"/>
                <w:b/>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Closed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after="0" w:line="240" w:lineRule="auto"/>
              <w:jc w:val="both"/>
              <w:rPr>
                <w:rFonts w:ascii="Times New Roman" w:hAnsi="Times New Roman" w:cs="Times New Roman"/>
                <w:b/>
                <w:color w:val="191919" w:themeColor="background1" w:themeShade="1A"/>
                <w:sz w:val="24"/>
                <w:szCs w:val="24"/>
                <w:lang w:val="en-US"/>
              </w:rPr>
            </w:pPr>
            <w:r>
              <w:rPr>
                <w:rFonts w:ascii="Times New Roman" w:hAnsi="Times New Roman" w:cs="Times New Roman"/>
                <w:color w:val="191919" w:themeColor="background1" w:themeShade="1A"/>
                <w:sz w:val="24"/>
                <w:szCs w:val="24"/>
                <w:lang w:val="en-US"/>
              </w:rPr>
              <w:t>Expanded satisfaction of personal needs for goods and services of mass demand</w:t>
            </w:r>
          </w:p>
        </w:tc>
        <w:tc>
          <w:tcPr>
            <w:tcW w:w="2126" w:type="dxa"/>
          </w:tcPr>
          <w:p>
            <w:pPr>
              <w:spacing w:after="0" w:line="240" w:lineRule="auto"/>
              <w:jc w:val="both"/>
              <w:rPr>
                <w:rFonts w:ascii="Times New Roman" w:hAnsi="Times New Roman" w:cs="Times New Roman"/>
                <w:b/>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Massive</w:t>
            </w:r>
          </w:p>
        </w:tc>
        <w:tc>
          <w:tcPr>
            <w:tcW w:w="1560" w:type="dxa"/>
          </w:tcPr>
          <w:p>
            <w:pPr>
              <w:spacing w:after="0" w:line="240" w:lineRule="auto"/>
              <w:jc w:val="both"/>
              <w:rPr>
                <w:rFonts w:ascii="Times New Roman" w:hAnsi="Times New Roman" w:cs="Times New Roman"/>
                <w:b/>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Capital-</w:t>
            </w:r>
            <w:r>
              <w:rPr>
                <w:rFonts w:ascii="Times New Roman" w:hAnsi="Times New Roman" w:cs="Times New Roman"/>
                <w:color w:val="191919" w:themeColor="background1" w:themeShade="1A"/>
                <w:sz w:val="24"/>
                <w:szCs w:val="24"/>
              </w:rPr>
              <w:br w:type="textWrapping"/>
            </w:r>
            <w:r>
              <w:rPr>
                <w:rStyle w:val="31"/>
                <w:rFonts w:ascii="Times New Roman" w:hAnsi="Times New Roman" w:cs="Times New Roman"/>
                <w:color w:val="191919" w:themeColor="background1" w:themeShade="1A"/>
                <w:sz w:val="24"/>
                <w:szCs w:val="24"/>
              </w:rPr>
              <w:t>capacious</w:t>
            </w:r>
          </w:p>
        </w:tc>
        <w:tc>
          <w:tcPr>
            <w:tcW w:w="1842" w:type="dxa"/>
          </w:tcPr>
          <w:p>
            <w:pPr>
              <w:spacing w:after="0" w:line="240" w:lineRule="auto"/>
              <w:jc w:val="both"/>
              <w:rPr>
                <w:rFonts w:ascii="Times New Roman" w:hAnsi="Times New Roman" w:cs="Times New Roman"/>
                <w:b/>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Democratic-partner</w:t>
            </w:r>
          </w:p>
        </w:tc>
        <w:tc>
          <w:tcPr>
            <w:tcW w:w="1525" w:type="dxa"/>
          </w:tcPr>
          <w:p>
            <w:pPr>
              <w:spacing w:after="0" w:line="240" w:lineRule="auto"/>
              <w:jc w:val="both"/>
              <w:rPr>
                <w:rFonts w:ascii="Times New Roman" w:hAnsi="Times New Roman" w:cs="Times New Roman"/>
                <w:b/>
                <w:color w:val="191919" w:themeColor="background1" w:themeShade="1A"/>
                <w:sz w:val="24"/>
                <w:szCs w:val="24"/>
                <w:lang w:val="en-US"/>
              </w:rPr>
            </w:pPr>
            <w:r>
              <w:rPr>
                <w:rStyle w:val="31"/>
                <w:rFonts w:ascii="Times New Roman" w:hAnsi="Times New Roman" w:cs="Times New Roman"/>
                <w:color w:val="191919" w:themeColor="background1" w:themeShade="1A"/>
                <w:sz w:val="24"/>
                <w:szCs w:val="24"/>
                <w:lang w:val="en-US"/>
              </w:rPr>
              <w:t>Open to capital. Closed for a number of goods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after="0" w:line="240" w:lineRule="auto"/>
              <w:jc w:val="both"/>
              <w:rPr>
                <w:rFonts w:ascii="Times New Roman" w:hAnsi="Times New Roman" w:cs="Times New Roman"/>
                <w:b/>
                <w:color w:val="191919" w:themeColor="background1" w:themeShade="1A"/>
                <w:sz w:val="24"/>
                <w:szCs w:val="24"/>
                <w:lang w:val="en-US"/>
              </w:rPr>
            </w:pPr>
            <w:r>
              <w:rPr>
                <w:rFonts w:ascii="Times New Roman" w:hAnsi="Times New Roman" w:cs="Times New Roman"/>
                <w:color w:val="191919" w:themeColor="background1" w:themeShade="1A"/>
                <w:sz w:val="24"/>
                <w:szCs w:val="24"/>
                <w:lang w:val="en-US"/>
              </w:rPr>
              <w:t>Individualized consumption of highly differentiated and complex goods and services</w:t>
            </w:r>
          </w:p>
        </w:tc>
        <w:tc>
          <w:tcPr>
            <w:tcW w:w="2126" w:type="dxa"/>
          </w:tcPr>
          <w:p>
            <w:pPr>
              <w:spacing w:after="0" w:line="240" w:lineRule="auto"/>
              <w:jc w:val="both"/>
              <w:rPr>
                <w:rFonts w:ascii="Times New Roman" w:hAnsi="Times New Roman" w:cs="Times New Roman"/>
                <w:b/>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Mass Differentiated</w:t>
            </w:r>
          </w:p>
        </w:tc>
        <w:tc>
          <w:tcPr>
            <w:tcW w:w="1560" w:type="dxa"/>
          </w:tcPr>
          <w:p>
            <w:pPr>
              <w:spacing w:after="0" w:line="240" w:lineRule="auto"/>
              <w:jc w:val="both"/>
              <w:rPr>
                <w:rFonts w:ascii="Times New Roman" w:hAnsi="Times New Roman" w:cs="Times New Roman"/>
                <w:b/>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Science</w:t>
            </w:r>
            <w:r>
              <w:rPr>
                <w:rFonts w:ascii="Times New Roman" w:hAnsi="Times New Roman" w:cs="Times New Roman"/>
                <w:color w:val="191919" w:themeColor="background1" w:themeShade="1A"/>
                <w:sz w:val="24"/>
                <w:szCs w:val="24"/>
              </w:rPr>
              <w:br w:type="textWrapping"/>
            </w:r>
            <w:r>
              <w:rPr>
                <w:rStyle w:val="31"/>
                <w:rFonts w:ascii="Times New Roman" w:hAnsi="Times New Roman" w:cs="Times New Roman"/>
                <w:color w:val="191919" w:themeColor="background1" w:themeShade="1A"/>
                <w:sz w:val="24"/>
                <w:szCs w:val="24"/>
              </w:rPr>
              <w:t>capacious</w:t>
            </w:r>
          </w:p>
        </w:tc>
        <w:tc>
          <w:tcPr>
            <w:tcW w:w="1842" w:type="dxa"/>
          </w:tcPr>
          <w:p>
            <w:pPr>
              <w:spacing w:after="0" w:line="240" w:lineRule="auto"/>
              <w:jc w:val="both"/>
              <w:rPr>
                <w:rFonts w:ascii="Times New Roman" w:hAnsi="Times New Roman" w:cs="Times New Roman"/>
                <w:b/>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Humanistic Equal</w:t>
            </w:r>
          </w:p>
        </w:tc>
        <w:tc>
          <w:tcPr>
            <w:tcW w:w="1525" w:type="dxa"/>
          </w:tcPr>
          <w:p>
            <w:pPr>
              <w:spacing w:after="0" w:line="240" w:lineRule="auto"/>
              <w:jc w:val="both"/>
              <w:rPr>
                <w:rFonts w:ascii="Times New Roman" w:hAnsi="Times New Roman" w:cs="Times New Roman"/>
                <w:b/>
                <w:color w:val="191919" w:themeColor="background1" w:themeShade="1A"/>
                <w:sz w:val="24"/>
                <w:szCs w:val="24"/>
                <w:lang w:val="en-US"/>
              </w:rPr>
            </w:pPr>
            <w:r>
              <w:rPr>
                <w:rStyle w:val="31"/>
                <w:rFonts w:ascii="Times New Roman" w:hAnsi="Times New Roman" w:cs="Times New Roman"/>
                <w:color w:val="191919" w:themeColor="background1" w:themeShade="1A"/>
                <w:sz w:val="24"/>
                <w:szCs w:val="24"/>
              </w:rPr>
              <w:t>Open</w:t>
            </w:r>
          </w:p>
        </w:tc>
      </w:tr>
    </w:tbl>
    <w:p>
      <w:pPr>
        <w:jc w:val="both"/>
        <w:rPr>
          <w:rFonts w:ascii="Times New Roman" w:hAnsi="Times New Roman" w:cs="Times New Roman"/>
          <w:b/>
          <w:color w:val="191919" w:themeColor="background1" w:themeShade="1A"/>
          <w:sz w:val="28"/>
          <w:szCs w:val="28"/>
        </w:rPr>
      </w:pP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This classification is only a logical abstraction, allowing to understand the essence of some economic processes.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The type of market economy is largely determined by the nature and direction of consumption. The dynamics of consumer demand and the qualitative change in social needs affect not only output, but also structural changes, the allocation of economic resources between industries and areas of production.</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Developed industrial countries from 1950 to 1995 have gone from the market models oriented to the satisfaction of primary needs (the first model), to the creation of mass-oriented production systems (the second model), and from them to the “individualized demand” (the third model).</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accordance with this classification, a comparative analysis can be carried out for different groups of countries.</w:t>
      </w:r>
    </w:p>
    <w:p>
      <w:pPr>
        <w:spacing w:after="0"/>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 comparative analysis of economic models, for example, the countries of Northeast Asia, involves initially highlighting the significant factors of development of each of the countries individually. At different stages, for each of the countries under consideration, its own essential parameters come to the fore. So, for example, for the Republic of Korea in the 60-70s of the XX century (ahead of Russia and China in economic development, but lagging behind Japan and the USA), a market-planned mechanism in the orientation to the "open model" became possible. Creating it in a resource-based economy was carried out on the basis of a combination of export orientation with import substitution with the active role of the state. This gave the advantage of production over the services, foreign trade over domestic.</w:t>
      </w:r>
    </w:p>
    <w:p>
      <w:pPr>
        <w:spacing w:after="0"/>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 distinctive feature of the market model of the Republic of Korea was also the intersection of export orientation with the liberalization of imports, and the competition of local and foreign goods in the domestic market. In the 80s-90s, a system of mass production of export orientation was created in the Korean economy. However, in addressing these challenges, Korean firms have faced various forms of discrimination on the world market. As the "bottlenecks" of the economic model of the Republic of Korea of the sample of the 90s of the twentieth century, which make it vulnerable in the world market, you can specify the following:</w:t>
      </w:r>
      <w:r>
        <w:rPr>
          <w:rFonts w:ascii="Times New Roman" w:hAnsi="Times New Roman" w:cs="Times New Roman"/>
          <w:color w:val="191919" w:themeColor="background1" w:themeShade="1A"/>
          <w:sz w:val="28"/>
          <w:szCs w:val="28"/>
          <w:lang w:val="en-US"/>
        </w:rPr>
        <w:br w:type="textWrapping"/>
      </w:r>
      <w:r>
        <w:rPr>
          <w:rFonts w:ascii="Times New Roman" w:hAnsi="Times New Roman" w:cs="Times New Roman"/>
          <w:color w:val="191919" w:themeColor="background1" w:themeShade="1A"/>
          <w:sz w:val="28"/>
          <w:szCs w:val="28"/>
          <w:lang w:val="en-US"/>
        </w:rPr>
        <w:t>· Structural and technological gap between large and small capital;</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financial market is not efficient enough and is too dependent on the state;</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existence of a conflict between labor and capital;</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Difficulties of access to high technologies, without which it is impossible to switch to the model of individualized demand.</w:t>
      </w:r>
    </w:p>
    <w:p>
      <w:pPr>
        <w:spacing w:after="0"/>
        <w:ind w:firstLine="708"/>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the period from the mid-70s to the end of the 80s of the twentieth century. In the Japanese economy, there were significant changes in the internal and external conditions of management, leading to the formation of a qualitatively new model of economic development. We list its main features: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A sharp increase in the intensification of the use of production resources;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Major changes in the sectoral structure of production and employment (both at the general economic level and within individual spheres and industries) in the direction of knowledge-intensive and intellectualized labor;</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increasing influence of NTP on all sectors of the economy, outpacing growth in R &amp; D costs;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creation of a diversified export-oriented market for mass production;</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Strengthening of competitive relations, the creation of a “new partnership model of“ state-business relationship ”;</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A deep restructuring of the foreign economic sphere (straightening the model of foreign trade, making it "horizontal"). The “vertical” model of foreign trade relations was focused on the import of mostly raw materials and the export of highly processed products. This caused strong dissatisfaction with the United States, who called this policy “unemployment exports”.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the 90s, Japan launched a new economic policy. Its main features are:</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Reorientation of economic growth to the national market by stimulating domestic demand and reducing its dependence on exports;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transition from the mass system to the model of individualized production;</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A sharp limitation of the economic functions of the state.</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the period from the mid-70s to the end of the 80s of the twentieth century. In the Japanese economy, there were significant changes in the internal and external conditions of management, leading to the formation of a qualitatively new model of economic development. We list its main features: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A sharp increase in the intensification of the use of production resources;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Major changes in the sectoral structure of production and employment (both at the general economic level and within individual spheres and industries) in the direction of knowledge-intensive and intellectualized labor;</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increasing influence of NTP on all sectors of the economy, outpacing growth in R &amp; D costs;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creation of a diversified export-oriented market for mass production;</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Strengthening of competitive relations, the creation of a “new partnership model of“ state-business relationship ”;</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A deep restructuring of the foreign economic sphere (straightening the model of foreign trade, making it "horizontal"). The “vertical” model of foreign trade relations was focused on the import of mostly raw materials and the export of highly processed products. This caused strong dissatisfaction with the United States, who called this policy “unemployment exports”.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In the 90s, Japan launched a new economic policy. Its main features are:</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Reorientation of economic growth to the national market by stimulating domestic demand and reducing its dependence on exports;</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transition from the mass system to the model of individualized production;</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A sharp limitation of the economic functions of the state.</w:t>
      </w:r>
    </w:p>
    <w:p>
      <w:pPr>
        <w:spacing w:after="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This has led to a new relationship between the export of goods and the export of capital, has accelerated the restructuring processes in the system of state regulation (first of all it concerns the formation of a new structure of public entrepreneurship, focused on independence from the state budget, greater “commercialization of activity”, expressed, for example, in companies or "quasi-public" enterprises).</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pStyle w:val="19"/>
        <w:jc w:val="center"/>
        <w:rPr>
          <w:color w:val="191919" w:themeColor="background1" w:themeShade="1A"/>
          <w:sz w:val="28"/>
          <w:szCs w:val="28"/>
          <w:lang w:val="en-US"/>
        </w:rPr>
      </w:pPr>
      <w:r>
        <w:rPr>
          <w:color w:val="191919" w:themeColor="background1" w:themeShade="1A"/>
          <w:sz w:val="28"/>
          <w:szCs w:val="28"/>
          <w:lang w:val="en-US"/>
        </w:rPr>
        <w:t>Questions:</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tell about Demand and supply curve and main determinants? How they influence on the economy of Kazakhstan?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describe about the main consumption theories?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describe Engel curve. </w:t>
      </w:r>
    </w:p>
    <w:p>
      <w:pPr>
        <w:shd w:val="clear" w:color="auto" w:fill="FFFFFF"/>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Can you describe the main trends in consumption. And the Changes in the structure of consumption.</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center"/>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References:</w:t>
      </w:r>
    </w:p>
    <w:p>
      <w:pPr>
        <w:numPr>
          <w:ilvl w:val="0"/>
          <w:numId w:val="27"/>
        </w:numPr>
        <w:tabs>
          <w:tab w:val="left" w:pos="426"/>
          <w:tab w:val="left" w:pos="851"/>
        </w:tabs>
        <w:spacing w:after="0" w:line="240" w:lineRule="auto"/>
        <w:jc w:val="both"/>
        <w:rPr>
          <w:rFonts w:ascii="Times New Roman" w:hAnsi="Times New Roman" w:cs="Times New Roman"/>
          <w:color w:val="191919" w:themeColor="background1" w:themeShade="1A"/>
          <w:sz w:val="28"/>
          <w:szCs w:val="28"/>
          <w:lang w:val="en-US"/>
        </w:rPr>
      </w:pPr>
      <w:r>
        <w:rPr>
          <w:rStyle w:val="25"/>
          <w:rFonts w:ascii="Times New Roman" w:hAnsi="Times New Roman" w:cs="Times New Roman"/>
          <w:color w:val="191919" w:themeColor="background1" w:themeShade="1A"/>
          <w:sz w:val="28"/>
          <w:szCs w:val="28"/>
          <w:lang w:val="en-US"/>
        </w:rPr>
        <w:t>“World Economy” – Definition. American English Definition of with Pronunciation by Macmillan Dictionary. N.p., n.d. Web. 02 Jan. 2017.</w:t>
      </w:r>
    </w:p>
    <w:p>
      <w:pPr>
        <w:pStyle w:val="10"/>
        <w:numPr>
          <w:ilvl w:val="0"/>
          <w:numId w:val="27"/>
        </w:numPr>
        <w:tabs>
          <w:tab w:val="left" w:pos="426"/>
          <w:tab w:val="left" w:pos="851"/>
        </w:tabs>
        <w:spacing w:before="0" w:beforeAutospacing="0" w:after="0" w:afterAutospacing="0"/>
        <w:jc w:val="both"/>
        <w:textAlignment w:val="baseline"/>
        <w:rPr>
          <w:color w:val="191919" w:themeColor="background1" w:themeShade="1A"/>
          <w:sz w:val="28"/>
          <w:szCs w:val="28"/>
          <w:lang w:val="en-US"/>
        </w:rPr>
      </w:pPr>
      <w:r>
        <w:rPr>
          <w:color w:val="191919" w:themeColor="background1" w:themeShade="1A"/>
          <w:sz w:val="28"/>
          <w:szCs w:val="28"/>
          <w:lang w:val="en-US"/>
        </w:rPr>
        <w:t>Baldwin, R (2017), “</w:t>
      </w:r>
      <w:r>
        <w:fldChar w:fldCharType="begin"/>
      </w:r>
      <w:r>
        <w:instrText xml:space="preserve"> HYPERLINK "http://www.cepr.org/active/publications/discussion_papers/dp.php?dpno=9103" </w:instrText>
      </w:r>
      <w:r>
        <w:fldChar w:fldCharType="separate"/>
      </w:r>
      <w:r>
        <w:rPr>
          <w:rStyle w:val="13"/>
          <w:color w:val="191919" w:themeColor="background1" w:themeShade="1A"/>
          <w:sz w:val="28"/>
          <w:szCs w:val="28"/>
          <w:u w:val="none"/>
          <w:lang w:val="en-US"/>
        </w:rPr>
        <w:t>Global Supply Chains: Why They Emerged, Why They Matter, and Where They are Going</w:t>
      </w:r>
      <w:r>
        <w:rPr>
          <w:rStyle w:val="13"/>
          <w:color w:val="191919" w:themeColor="background1" w:themeShade="1A"/>
          <w:sz w:val="28"/>
          <w:szCs w:val="28"/>
          <w:u w:val="none"/>
          <w:lang w:val="en-US"/>
        </w:rPr>
        <w:fldChar w:fldCharType="end"/>
      </w:r>
      <w:r>
        <w:rPr>
          <w:color w:val="191919" w:themeColor="background1" w:themeShade="1A"/>
          <w:sz w:val="28"/>
          <w:szCs w:val="28"/>
          <w:lang w:val="en-US"/>
        </w:rPr>
        <w:t>”, CEPR Discussion Paper 9103.</w:t>
      </w:r>
    </w:p>
    <w:p>
      <w:pPr>
        <w:pStyle w:val="10"/>
        <w:numPr>
          <w:ilvl w:val="0"/>
          <w:numId w:val="27"/>
        </w:numPr>
        <w:tabs>
          <w:tab w:val="left" w:pos="426"/>
          <w:tab w:val="left" w:pos="851"/>
        </w:tabs>
        <w:spacing w:before="0" w:beforeAutospacing="0" w:after="0" w:afterAutospacing="0"/>
        <w:jc w:val="both"/>
        <w:textAlignment w:val="baseline"/>
        <w:rPr>
          <w:color w:val="191919" w:themeColor="background1" w:themeShade="1A"/>
          <w:sz w:val="28"/>
          <w:szCs w:val="28"/>
          <w:lang w:val="en-US"/>
        </w:rPr>
      </w:pPr>
      <w:r>
        <w:rPr>
          <w:color w:val="191919" w:themeColor="background1" w:themeShade="1A"/>
          <w:sz w:val="28"/>
          <w:szCs w:val="28"/>
          <w:lang w:val="en-US"/>
        </w:rPr>
        <w:t xml:space="preserve">Kummritz, V (2016), “Global Value Chains: Benefiting the Domestic Economy?” CTEI Working Papers 2016-05, Centre for Trade and Economic Integration. </w:t>
      </w:r>
    </w:p>
    <w:p>
      <w:pPr>
        <w:pStyle w:val="10"/>
        <w:numPr>
          <w:ilvl w:val="0"/>
          <w:numId w:val="27"/>
        </w:numPr>
        <w:tabs>
          <w:tab w:val="left" w:pos="426"/>
          <w:tab w:val="left" w:pos="851"/>
        </w:tabs>
        <w:spacing w:before="0" w:beforeAutospacing="0" w:after="0" w:afterAutospacing="0"/>
        <w:jc w:val="both"/>
        <w:textAlignment w:val="baseline"/>
        <w:rPr>
          <w:color w:val="191919" w:themeColor="background1" w:themeShade="1A"/>
          <w:sz w:val="28"/>
          <w:szCs w:val="28"/>
          <w:lang w:val="en-US"/>
        </w:rPr>
      </w:pPr>
      <w:r>
        <w:rPr>
          <w:color w:val="191919" w:themeColor="background1" w:themeShade="1A"/>
          <w:sz w:val="28"/>
          <w:szCs w:val="28"/>
          <w:lang w:val="en-US"/>
        </w:rPr>
        <w:t>UNCTAD (2015), “World investment report 2015: Global value chains: Investment and trade for development”, Technical report, United Nations Publication, Geneva.</w:t>
      </w:r>
    </w:p>
    <w:p>
      <w:pPr>
        <w:numPr>
          <w:ilvl w:val="0"/>
          <w:numId w:val="27"/>
        </w:numPr>
        <w:tabs>
          <w:tab w:val="left" w:pos="426"/>
          <w:tab w:val="left" w:pos="851"/>
        </w:tabs>
        <w:spacing w:after="0" w:line="240" w:lineRule="auto"/>
        <w:jc w:val="both"/>
        <w:rPr>
          <w:rFonts w:ascii="Times New Roman" w:hAnsi="Times New Roman" w:cs="Times New Roman"/>
          <w:color w:val="191919" w:themeColor="background1" w:themeShade="1A"/>
          <w:sz w:val="28"/>
          <w:szCs w:val="28"/>
          <w:lang w:val="en-US"/>
        </w:rPr>
      </w:pPr>
      <w:r>
        <w:fldChar w:fldCharType="begin"/>
      </w:r>
      <w:r>
        <w:instrText xml:space="preserve"> HYPERLINK "http://www.imf.org/external/pubs/ft/weo/2017/01/weodata/weorept.aspx?pr.x=48&amp;pr.y=14&amp;sy=2012&amp;ey=2020&amp;scsm=1&amp;sort=country&amp;ds=.&amp;br=1&amp;c=512%2C668%2C914%2C672%2C612%2C946%2C614%2C137%2C311%2C962%2C213%2C674%2C911%2C676%2C193%2C548%2C122%2C556%2C912%2C678%2C313%2C181%2C419%2C867%2C513%2C682%2C316%2C684%2C913%2C273%2C124%2C868%2C339%2C921%2C638%2C948%2C514%2C943%2C218%2C686%2C963%2C688%2C616%2C518%2C223%2C728%2C516%2C558%2C918%2C138%2C748%2C196%2C618%2C278%2C624%2C692%2C522%2C694%2C622%2C142%2C156%2C449%2C626%2C564%2C628%2C565%2C228%2C283%2C924%2C853%2C233%2C288%2C632%2C293%2C636%2C566%2C634%2C964%2C238%2C182%2C662%2C453%2C960%2C968%2C423%2C922%2C935%2C714%2C128%2C862%2C611%2C135%2C321%2C716%2C243%2C456%2C248%2C722%2C469%2C942%2C253%2C718%2C642%2C724%2C643%2C576%2C939%2C936%2C644%2C961%2C819%2C813%2C172%2C199%2C132%2C733%2C646%2C184%2C648%2C524%2C915%2C361%2C134%2C362%2C652%2C364%2C174%2C732%2C328%2C366%2C258%2C734%2C656%2C144%2C654%2C146%2C336%2C463%2C263%2C528%2C268%2C923%2C532%2C738%2C944%2C578%2C176%2C537%2C534%2C742%2C536%2C866%2C429%2C369%2C433%2C744%2C178%2C186%2C436%2C925%2C136%2C869%2C343%2C746%2C158%2C926%2C439%2C466%2C916%2C112%2C664%2C111%2C826%2C298%2C542%2C927%2C967%2C846%2C443%2C299%2C917%2C582%2C544%2C474%2C941%2C754%2C446%2C698%2C666&amp;s=NGDPD&amp;grp=0&amp;a=" </w:instrText>
      </w:r>
      <w:r>
        <w:fldChar w:fldCharType="separate"/>
      </w:r>
      <w:r>
        <w:rPr>
          <w:rStyle w:val="13"/>
          <w:rFonts w:ascii="Times New Roman" w:hAnsi="Times New Roman" w:cs="Times New Roman"/>
          <w:iCs/>
          <w:color w:val="191919" w:themeColor="background1" w:themeShade="1A"/>
          <w:sz w:val="28"/>
          <w:szCs w:val="28"/>
          <w:u w:val="none"/>
          <w:lang w:val="en-US"/>
        </w:rPr>
        <w:t>“Gross domestic product, current prices”</w:t>
      </w:r>
      <w:r>
        <w:rPr>
          <w:rStyle w:val="13"/>
          <w:rFonts w:ascii="Times New Roman" w:hAnsi="Times New Roman" w:cs="Times New Roman"/>
          <w:iCs/>
          <w:color w:val="191919" w:themeColor="background1" w:themeShade="1A"/>
          <w:sz w:val="28"/>
          <w:szCs w:val="28"/>
          <w:u w:val="none"/>
          <w:lang w:val="en-US"/>
        </w:rPr>
        <w:fldChar w:fldCharType="end"/>
      </w:r>
      <w:r>
        <w:rPr>
          <w:rStyle w:val="15"/>
          <w:rFonts w:ascii="Times New Roman" w:hAnsi="Times New Roman" w:cs="Times New Roman"/>
          <w:i w:val="0"/>
          <w:color w:val="191919" w:themeColor="background1" w:themeShade="1A"/>
          <w:sz w:val="28"/>
          <w:szCs w:val="28"/>
          <w:lang w:val="en-US"/>
        </w:rPr>
        <w:t>. International Monetary Fund. International Monetary Fund. October 2015</w:t>
      </w:r>
      <w:r>
        <w:rPr>
          <w:rStyle w:val="26"/>
          <w:rFonts w:ascii="Times New Roman" w:hAnsi="Times New Roman" w:cs="Times New Roman"/>
          <w:iCs/>
          <w:color w:val="191919" w:themeColor="background1" w:themeShade="1A"/>
          <w:sz w:val="28"/>
          <w:szCs w:val="28"/>
          <w:lang w:val="en-US"/>
        </w:rPr>
        <w:t>. Retrieved </w:t>
      </w:r>
      <w:r>
        <w:rPr>
          <w:rStyle w:val="24"/>
          <w:rFonts w:ascii="Times New Roman" w:hAnsi="Times New Roman" w:cs="Times New Roman"/>
          <w:iCs/>
          <w:color w:val="191919" w:themeColor="background1" w:themeShade="1A"/>
          <w:sz w:val="28"/>
          <w:szCs w:val="28"/>
          <w:lang w:val="en-US"/>
        </w:rPr>
        <w:t>11 October</w:t>
      </w:r>
      <w:r>
        <w:rPr>
          <w:rStyle w:val="26"/>
          <w:rFonts w:ascii="Times New Roman" w:hAnsi="Times New Roman" w:cs="Times New Roman"/>
          <w:iCs/>
          <w:color w:val="191919" w:themeColor="background1" w:themeShade="1A"/>
          <w:sz w:val="28"/>
          <w:szCs w:val="28"/>
          <w:lang w:val="en-US"/>
        </w:rPr>
        <w:t> 2015</w:t>
      </w:r>
      <w:r>
        <w:rPr>
          <w:rStyle w:val="15"/>
          <w:rFonts w:ascii="Times New Roman" w:hAnsi="Times New Roman" w:cs="Times New Roman"/>
          <w:i w:val="0"/>
          <w:color w:val="191919" w:themeColor="background1" w:themeShade="1A"/>
          <w:sz w:val="28"/>
          <w:szCs w:val="28"/>
          <w:lang w:val="en-US"/>
        </w:rPr>
        <w:t>.</w:t>
      </w:r>
    </w:p>
    <w:p>
      <w:pPr>
        <w:numPr>
          <w:ilvl w:val="0"/>
          <w:numId w:val="27"/>
        </w:numPr>
        <w:tabs>
          <w:tab w:val="left" w:pos="426"/>
          <w:tab w:val="left" w:pos="851"/>
        </w:tabs>
        <w:spacing w:after="0" w:line="240" w:lineRule="auto"/>
        <w:jc w:val="both"/>
        <w:rPr>
          <w:rStyle w:val="15"/>
          <w:rFonts w:ascii="Times New Roman" w:hAnsi="Times New Roman" w:cs="Times New Roman"/>
          <w:i w:val="0"/>
          <w:iCs w:val="0"/>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w:t>
      </w:r>
      <w:r>
        <w:fldChar w:fldCharType="begin"/>
      </w:r>
      <w:r>
        <w:instrText xml:space="preserve"> HYPERLINK "http://www.imf.org/external/pubs/ft/weo/2009/01/index.htm" </w:instrText>
      </w:r>
      <w:r>
        <w:fldChar w:fldCharType="separate"/>
      </w:r>
      <w:r>
        <w:rPr>
          <w:rStyle w:val="13"/>
          <w:rFonts w:ascii="Times New Roman" w:hAnsi="Times New Roman" w:cs="Times New Roman"/>
          <w:iCs/>
          <w:color w:val="191919" w:themeColor="background1" w:themeShade="1A"/>
          <w:sz w:val="28"/>
          <w:szCs w:val="28"/>
          <w:u w:val="none"/>
          <w:lang w:val="en-US"/>
        </w:rPr>
        <w:t>"IMF World Economic Outlook, Crisis and Recovery, April 2009"</w:t>
      </w:r>
      <w:r>
        <w:rPr>
          <w:rStyle w:val="13"/>
          <w:rFonts w:ascii="Times New Roman" w:hAnsi="Times New Roman" w:cs="Times New Roman"/>
          <w:iCs/>
          <w:color w:val="191919" w:themeColor="background1" w:themeShade="1A"/>
          <w:sz w:val="28"/>
          <w:szCs w:val="28"/>
          <w:u w:val="none"/>
          <w:lang w:val="en-US"/>
        </w:rPr>
        <w:fldChar w:fldCharType="end"/>
      </w:r>
      <w:r>
        <w:rPr>
          <w:rStyle w:val="15"/>
          <w:rFonts w:ascii="Times New Roman" w:hAnsi="Times New Roman" w:cs="Times New Roman"/>
          <w:i w:val="0"/>
          <w:color w:val="191919" w:themeColor="background1" w:themeShade="1A"/>
          <w:sz w:val="28"/>
          <w:szCs w:val="28"/>
          <w:lang w:val="en-US"/>
        </w:rPr>
        <w:t>. Imf.org. 2009-04-16</w:t>
      </w:r>
      <w:r>
        <w:rPr>
          <w:rStyle w:val="26"/>
          <w:rFonts w:ascii="Times New Roman" w:hAnsi="Times New Roman" w:cs="Times New Roman"/>
          <w:iCs/>
          <w:color w:val="191919" w:themeColor="background1" w:themeShade="1A"/>
          <w:sz w:val="28"/>
          <w:szCs w:val="28"/>
          <w:lang w:val="en-US"/>
        </w:rPr>
        <w:t>. Retrieved </w:t>
      </w:r>
      <w:r>
        <w:rPr>
          <w:rStyle w:val="24"/>
          <w:rFonts w:ascii="Times New Roman" w:hAnsi="Times New Roman" w:cs="Times New Roman"/>
          <w:iCs/>
          <w:color w:val="191919" w:themeColor="background1" w:themeShade="1A"/>
          <w:sz w:val="28"/>
          <w:szCs w:val="28"/>
          <w:lang w:val="en-US"/>
        </w:rPr>
        <w:t>2012-07-17</w:t>
      </w:r>
      <w:r>
        <w:rPr>
          <w:rStyle w:val="15"/>
          <w:rFonts w:ascii="Times New Roman" w:hAnsi="Times New Roman" w:cs="Times New Roman"/>
          <w:i w:val="0"/>
          <w:color w:val="191919" w:themeColor="background1" w:themeShade="1A"/>
          <w:sz w:val="28"/>
          <w:szCs w:val="28"/>
          <w:lang w:val="en-US"/>
        </w:rPr>
        <w:t>.</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pStyle w:val="19"/>
        <w:rPr>
          <w:color w:val="191919" w:themeColor="background1" w:themeShade="1A"/>
          <w:sz w:val="28"/>
          <w:szCs w:val="28"/>
          <w:lang w:val="en-US"/>
        </w:rPr>
      </w:pPr>
      <w:r>
        <w:rPr>
          <w:b/>
          <w:color w:val="191919" w:themeColor="background1" w:themeShade="1A"/>
          <w:sz w:val="28"/>
          <w:szCs w:val="28"/>
          <w:lang w:val="en-US"/>
        </w:rPr>
        <w:t xml:space="preserve">Subject 7. </w:t>
      </w:r>
      <w:r>
        <w:rPr>
          <w:b/>
          <w:bCs/>
          <w:color w:val="191919" w:themeColor="background1" w:themeShade="1A"/>
          <w:sz w:val="28"/>
          <w:szCs w:val="28"/>
          <w:lang w:val="en-US"/>
        </w:rPr>
        <w:t>Global economy major problems 1</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Global inequality and income distribution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Global and regional migration trends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Mineral resources and energy security </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pacing w:after="0" w:line="240" w:lineRule="auto"/>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1. Global in equality and income distribution</w:t>
      </w:r>
    </w:p>
    <w:p>
      <w:pPr>
        <w:spacing w:after="0" w:line="240" w:lineRule="auto"/>
        <w:ind w:firstLine="567"/>
        <w:jc w:val="both"/>
        <w:rPr>
          <w:rFonts w:ascii="Times New Roman" w:hAnsi="Times New Roman" w:cs="Times New Roman"/>
          <w:color w:val="191919" w:themeColor="background1" w:themeShade="1A"/>
          <w:sz w:val="28"/>
          <w:szCs w:val="28"/>
          <w:shd w:val="clear" w:color="auto" w:fill="FFFFFF"/>
          <w:lang w:val="en-US"/>
        </w:rPr>
      </w:pPr>
      <w:r>
        <w:rPr>
          <w:rFonts w:ascii="Times New Roman" w:hAnsi="Times New Roman" w:cs="Times New Roman"/>
          <w:color w:val="191919" w:themeColor="background1" w:themeShade="1A"/>
          <w:sz w:val="28"/>
          <w:szCs w:val="28"/>
          <w:shd w:val="clear" w:color="auto" w:fill="FFFFFF"/>
          <w:lang w:val="en-US"/>
        </w:rPr>
        <w:t>Inequality has been on the rise across the globe for several decades. Some countries have reduced the numbers of people living in extreme poverty. But economic gaps have continued to grow as the very richest amass unprecedented levels of wealth. Among industrial nations, the United States is by far the most top-heavy, with much greater shares of national wealth and income going to the richest 1 percent than any other country.</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chart below shows the distribution of annual income among all world citizens. To make incomes comparable across countries and time, daily incomes are measured in constant 2011 International Dollars - this is a currency that would buy a comparable amount of goods and services that a U.S. dollar would buy in the United States in 2011 (for a more detailed explanation, see </w:t>
      </w:r>
      <w:r>
        <w:fldChar w:fldCharType="begin"/>
      </w:r>
      <w:r>
        <w:instrText xml:space="preserve"> HYPERLINK "https://ourworldindata.org/what-are-PPPs" </w:instrText>
      </w:r>
      <w:r>
        <w:fldChar w:fldCharType="separate"/>
      </w:r>
      <w:r>
        <w:rPr>
          <w:rFonts w:ascii="Times New Roman" w:hAnsi="Times New Roman" w:eastAsia="Times New Roman" w:cs="Times New Roman"/>
          <w:color w:val="191919" w:themeColor="background1" w:themeShade="1A"/>
          <w:sz w:val="28"/>
          <w:szCs w:val="28"/>
          <w:lang w:val="en-US" w:eastAsia="ru-RU"/>
        </w:rPr>
        <w:t>here</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distribution of incomes is shown at 3 points in time:</w:t>
      </w:r>
    </w:p>
    <w:p>
      <w:pPr>
        <w:numPr>
          <w:ilvl w:val="0"/>
          <w:numId w:val="28"/>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In 1800, few countries had achieved economic growth. The chart shows that the majority of the world lived in poverty with an income similar to the poorest countries today. Our entry on </w:t>
      </w:r>
      <w:r>
        <w:fldChar w:fldCharType="begin"/>
      </w:r>
      <w:r>
        <w:instrText xml:space="preserve"> HYPERLINK "https://ourworldindata.org/world-poverty" \o "extreme poverty" </w:instrText>
      </w:r>
      <w:r>
        <w:fldChar w:fldCharType="separate"/>
      </w:r>
      <w:r>
        <w:rPr>
          <w:rFonts w:ascii="Times New Roman" w:hAnsi="Times New Roman" w:eastAsia="Times New Roman" w:cs="Times New Roman"/>
          <w:color w:val="191919" w:themeColor="background1" w:themeShade="1A"/>
          <w:sz w:val="28"/>
          <w:szCs w:val="28"/>
          <w:lang w:val="en-US" w:eastAsia="ru-RU"/>
        </w:rPr>
        <w:t>global extreme poverty</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shows that at the beginning of the 19th century the huge majority - more than 80% - of the world lived in material conditions that we would refer to as extreme poverty today.</w:t>
      </w:r>
    </w:p>
    <w:p>
      <w:pPr>
        <w:numPr>
          <w:ilvl w:val="0"/>
          <w:numId w:val="28"/>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In the year 1975, 175 years later, the world had changed - it had become very unequal. The world income distribution was bimodal, with the two-humped shape of a camel. One hump below the international poverty line and a second hump at considerably higher incomes - the world had divided into a poor, developing world and a developed world that was more than 10-times richer.</w:t>
      </w:r>
    </w:p>
    <w:p>
      <w:pPr>
        <w:numPr>
          <w:ilvl w:val="0"/>
          <w:numId w:val="28"/>
        </w:numP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Over the following 4 decades the world income distribution has again changed dramatically. The poorer countries, especially in South-East Asia, have caught up. The two-humped "camel shape" has changed into a one-humped "dromedary shape". World income inequality has declined. And not only is the world more equal again, the distribution has also shifted to the right - the incomes of the world's poorest citizens have increased and poverty has fallen </w:t>
      </w:r>
      <w:r>
        <w:fldChar w:fldCharType="begin"/>
      </w:r>
      <w:r>
        <w:instrText xml:space="preserve"> HYPERLINK "https://ourworldindata.org/extreme-poverty/" </w:instrText>
      </w:r>
      <w:r>
        <w:fldChar w:fldCharType="separate"/>
      </w:r>
      <w:r>
        <w:rPr>
          <w:rFonts w:ascii="Times New Roman" w:hAnsi="Times New Roman" w:eastAsia="Times New Roman" w:cs="Times New Roman"/>
          <w:color w:val="191919" w:themeColor="background1" w:themeShade="1A"/>
          <w:sz w:val="28"/>
          <w:szCs w:val="28"/>
          <w:lang w:val="en-US" w:eastAsia="ru-RU"/>
        </w:rPr>
        <w:t>faster than ever before in human history</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We have visualized a similar dataset from the OECD </w:t>
      </w:r>
      <w:r>
        <w:fldChar w:fldCharType="begin"/>
      </w:r>
      <w:r>
        <w:instrText xml:space="preserve"> HYPERLINK "https://ourworldindata.org/roser/graphs/WorldIncomeDistribution1820to2000/WorldIncomeDistribution1820to2000.html" </w:instrText>
      </w:r>
      <w:r>
        <w:fldChar w:fldCharType="separate"/>
      </w:r>
      <w:r>
        <w:rPr>
          <w:rFonts w:ascii="Times New Roman" w:hAnsi="Times New Roman" w:eastAsia="Times New Roman" w:cs="Times New Roman"/>
          <w:color w:val="191919" w:themeColor="background1" w:themeShade="1A"/>
          <w:sz w:val="28"/>
          <w:szCs w:val="28"/>
          <w:lang w:val="en-US" w:eastAsia="ru-RU"/>
        </w:rPr>
        <w:t>here</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xml:space="preserve">.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color w:val="191919" w:themeColor="background1" w:themeShade="1A"/>
          <w:sz w:val="28"/>
          <w:szCs w:val="28"/>
          <w:lang w:eastAsia="ru-RU"/>
        </w:rPr>
        <w:drawing>
          <wp:inline distT="0" distB="0" distL="0" distR="0">
            <wp:extent cx="5368925" cy="3372485"/>
            <wp:effectExtent l="19050" t="0" r="3045" b="0"/>
            <wp:docPr id="7" name="Рисунок 1" descr="https://ourworldindata.org/wp-content/uploads/2013/12/Global-inequality-in-1800-1975-and-2015-324x550.p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 descr="https://ourworldindata.org/wp-content/uploads/2013/12/Global-inequality-in-1800-1975-and-2015-324x550.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376600" cy="3377669"/>
                    </a:xfrm>
                    <a:prstGeom prst="rect">
                      <a:avLst/>
                    </a:prstGeom>
                    <a:noFill/>
                    <a:ln>
                      <a:noFill/>
                    </a:ln>
                  </pic:spPr>
                </pic:pic>
              </a:graphicData>
            </a:graphic>
          </wp:inline>
        </w:drawing>
      </w:r>
    </w:p>
    <w:p>
      <w:pPr>
        <w:shd w:val="clear" w:color="auto" w:fill="FFFFFF"/>
        <w:spacing w:after="0" w:line="240" w:lineRule="auto"/>
        <w:ind w:firstLine="567"/>
        <w:jc w:val="both"/>
        <w:outlineLvl w:val="2"/>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center"/>
        <w:outlineLvl w:val="2"/>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Picture 7.1. Global income inequality increased for 2 centuries and is now falling</w:t>
      </w:r>
    </w:p>
    <w:p>
      <w:pPr>
        <w:shd w:val="clear" w:color="auto" w:fill="FFFFFF"/>
        <w:spacing w:after="0" w:line="240" w:lineRule="auto"/>
        <w:ind w:firstLine="567"/>
        <w:jc w:val="both"/>
        <w:outlineLvl w:val="2"/>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visualization below shows the distribution of incomes between 1988 and 2011. The data was compiled by the economists Branko Milanovic and Christoph Lakner. To see the change over time, select the years just above the distribution.</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previous visualization, which showed the the change from 1820 to the year 2000 is based on estimates of inflation-adjusted average incomes per country (GDP per capita) and a measure of income inequality within a country only. It gives us a rough idea of how the distribution of incomes changed, but it is not very detailed and not very precise. In contrast to this, the work by Branko Milanovic and Christoph Lakner is based on much more detailed household survey data. This data measures household income at each decile of the income distribution and the two authors used this information to arrive at the global income distribution. The downside of this approach is that we can only go as far back in time as household surveys were conducted.</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visualization shows the end of the long era in human history in which global inequality was increasing. Starting with industrialization in North-Western Europe, incomes in this part of the world started to increase while material prosperity in the rest of the world remained low. While some countries followed the European industrialization – first Northern America, Oceania, and parts of South America and later Japan and East Asia – other countries in Asia and Africa remained poor. As a consequence of this, global inequality increased over a long period of time. Only in the period shown in the visualization below did this change: With rapid growth in much of Asia in particular, the global distribution of incomes became less unequal. The incomes of the poorer half of the world population rose faster than the incomes of the richer half of the world population.</w:t>
      </w:r>
    </w:p>
    <w:p>
      <w:pPr>
        <w:spacing w:after="0" w:line="240" w:lineRule="auto"/>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2. Global and regional migration trends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bCs/>
          <w:color w:val="191919" w:themeColor="background1" w:themeShade="1A"/>
          <w:sz w:val="28"/>
          <w:szCs w:val="28"/>
          <w:lang w:val="en-US"/>
        </w:rPr>
        <w:t>Energy security</w:t>
      </w:r>
      <w:r>
        <w:rPr>
          <w:b/>
          <w:bCs/>
          <w:color w:val="191919" w:themeColor="background1" w:themeShade="1A"/>
          <w:sz w:val="28"/>
          <w:szCs w:val="28"/>
          <w:lang w:val="en-US"/>
        </w:rPr>
        <w:t xml:space="preserve"> </w:t>
      </w:r>
      <w:r>
        <w:rPr>
          <w:color w:val="191919" w:themeColor="background1" w:themeShade="1A"/>
          <w:sz w:val="28"/>
          <w:szCs w:val="28"/>
          <w:lang w:val="en-US"/>
        </w:rPr>
        <w:t xml:space="preserve">is the association between </w:t>
      </w:r>
      <w:r>
        <w:fldChar w:fldCharType="begin"/>
      </w:r>
      <w:r>
        <w:instrText xml:space="preserve"> HYPERLINK "https://en.wikipedia.org/wiki/National_security" \o "National security" </w:instrText>
      </w:r>
      <w:r>
        <w:fldChar w:fldCharType="separate"/>
      </w:r>
      <w:r>
        <w:rPr>
          <w:rStyle w:val="13"/>
          <w:color w:val="191919" w:themeColor="background1" w:themeShade="1A"/>
          <w:sz w:val="28"/>
          <w:szCs w:val="28"/>
          <w:u w:val="none"/>
          <w:lang w:val="en-US"/>
        </w:rPr>
        <w:t>national security</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and the availability of </w:t>
      </w:r>
      <w:r>
        <w:fldChar w:fldCharType="begin"/>
      </w:r>
      <w:r>
        <w:instrText xml:space="preserve"> HYPERLINK "https://en.wikipedia.org/wiki/Natural_resource" \o "Natural resource" </w:instrText>
      </w:r>
      <w:r>
        <w:fldChar w:fldCharType="separate"/>
      </w:r>
      <w:r>
        <w:rPr>
          <w:rStyle w:val="13"/>
          <w:color w:val="191919" w:themeColor="background1" w:themeShade="1A"/>
          <w:sz w:val="28"/>
          <w:szCs w:val="28"/>
          <w:u w:val="none"/>
          <w:lang w:val="en-US"/>
        </w:rPr>
        <w:t>natural resources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for </w:t>
      </w:r>
      <w:r>
        <w:fldChar w:fldCharType="begin"/>
      </w:r>
      <w:r>
        <w:instrText xml:space="preserve"> HYPERLINK "https://en.wikipedia.org/wiki/Energy_consumption" \o "Energy consumption" </w:instrText>
      </w:r>
      <w:r>
        <w:fldChar w:fldCharType="separate"/>
      </w:r>
      <w:r>
        <w:rPr>
          <w:rStyle w:val="13"/>
          <w:color w:val="191919" w:themeColor="background1" w:themeShade="1A"/>
          <w:sz w:val="28"/>
          <w:szCs w:val="28"/>
          <w:u w:val="none"/>
          <w:lang w:val="en-US"/>
        </w:rPr>
        <w:t>energy consumption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Access to (relatively) cheap </w:t>
      </w:r>
      <w:r>
        <w:fldChar w:fldCharType="begin"/>
      </w:r>
      <w:r>
        <w:instrText xml:space="preserve"> HYPERLINK "https://en.wikipedia.org/wiki/Energy" \o "Energy" </w:instrText>
      </w:r>
      <w:r>
        <w:fldChar w:fldCharType="separate"/>
      </w:r>
      <w:r>
        <w:rPr>
          <w:rStyle w:val="13"/>
          <w:color w:val="191919" w:themeColor="background1" w:themeShade="1A"/>
          <w:sz w:val="28"/>
          <w:szCs w:val="28"/>
          <w:u w:val="none"/>
          <w:lang w:val="en-US"/>
        </w:rPr>
        <w:t>energy</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has become essential to the functioning of modern economies. However, the uneven distribution of </w:t>
      </w:r>
      <w:r>
        <w:fldChar w:fldCharType="begin"/>
      </w:r>
      <w:r>
        <w:instrText xml:space="preserve"> HYPERLINK "https://en.wikipedia.org/wiki/Energy_supplies" \o "Energy supplies" </w:instrText>
      </w:r>
      <w:r>
        <w:fldChar w:fldCharType="separate"/>
      </w:r>
      <w:r>
        <w:rPr>
          <w:rStyle w:val="13"/>
          <w:color w:val="191919" w:themeColor="background1" w:themeShade="1A"/>
          <w:sz w:val="28"/>
          <w:szCs w:val="28"/>
          <w:u w:val="none"/>
          <w:lang w:val="en-US"/>
        </w:rPr>
        <w:t>energy supplies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among countries has led to significant vulnerabilities. International energy relations have contributed to the globalization of the world leading to energy security and energy vulnerability at the same time. </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the context of energy security, security of energy supply is an issue of utmost importance. Moreover, it is time to define "a global energy policy model, which not only aims at ensuring an efficient environmental protection but also at ensuring security of energy supply".</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fldChar w:fldCharType="begin"/>
      </w:r>
      <w:r>
        <w:instrText xml:space="preserve"> HYPERLINK "https://en.wikipedia.org/wiki/Renewable_energy" \o "Renewable energy" </w:instrText>
      </w:r>
      <w:r>
        <w:fldChar w:fldCharType="separate"/>
      </w:r>
      <w:r>
        <w:rPr>
          <w:rStyle w:val="13"/>
          <w:color w:val="191919" w:themeColor="background1" w:themeShade="1A"/>
          <w:sz w:val="28"/>
          <w:szCs w:val="28"/>
          <w:u w:val="none"/>
          <w:lang w:val="en-US"/>
        </w:rPr>
        <w:t>Renewable</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resources and significant opportunities for </w:t>
      </w:r>
      <w:r>
        <w:fldChar w:fldCharType="begin"/>
      </w:r>
      <w:r>
        <w:instrText xml:space="preserve"> HYPERLINK "https://en.wikipedia.org/wiki/Efficient_energy_use" \o "Efficient energy use" </w:instrText>
      </w:r>
      <w:r>
        <w:fldChar w:fldCharType="separate"/>
      </w:r>
      <w:r>
        <w:rPr>
          <w:rStyle w:val="13"/>
          <w:color w:val="191919" w:themeColor="background1" w:themeShade="1A"/>
          <w:sz w:val="28"/>
          <w:szCs w:val="28"/>
          <w:u w:val="none"/>
          <w:lang w:val="en-US"/>
        </w:rPr>
        <w:t>energy efficiency</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exist over wide geographical areas, in contrast to other energy sources, which are concentrated in a limited number of countries. Rapid deployment of renewable energy and energy efficiency, and technological diversification of energy sources, would result in significant energy security and economic benefits.</w:t>
      </w:r>
    </w:p>
    <w:p>
      <w:pPr>
        <w:pStyle w:val="10"/>
        <w:spacing w:before="0" w:beforeAutospacing="0" w:after="0" w:afterAutospacing="0"/>
        <w:ind w:firstLine="567"/>
        <w:jc w:val="both"/>
        <w:rPr>
          <w:i/>
          <w:iCs/>
          <w:color w:val="191919" w:themeColor="background1" w:themeShade="1A"/>
          <w:sz w:val="28"/>
          <w:szCs w:val="28"/>
          <w:lang w:val="en-US"/>
        </w:rPr>
      </w:pPr>
    </w:p>
    <w:p>
      <w:pPr>
        <w:pStyle w:val="10"/>
        <w:spacing w:before="0" w:beforeAutospacing="0" w:after="0" w:afterAutospacing="0"/>
        <w:ind w:firstLine="567"/>
        <w:jc w:val="both"/>
        <w:rPr>
          <w:color w:val="191919" w:themeColor="background1" w:themeShade="1A"/>
          <w:sz w:val="28"/>
          <w:szCs w:val="28"/>
          <w:lang w:val="en-US"/>
        </w:rPr>
      </w:pPr>
    </w:p>
    <w:p>
      <w:pPr>
        <w:pStyle w:val="10"/>
        <w:spacing w:before="0" w:beforeAutospacing="0" w:after="0" w:afterAutospacing="0"/>
        <w:ind w:firstLine="567"/>
        <w:jc w:val="both"/>
        <w:rPr>
          <w:color w:val="191919" w:themeColor="background1" w:themeShade="1A"/>
          <w:sz w:val="28"/>
          <w:szCs w:val="28"/>
        </w:rPr>
      </w:pPr>
      <w:r>
        <w:rPr>
          <w:color w:val="191919" w:themeColor="background1" w:themeShade="1A"/>
          <w:sz w:val="28"/>
          <w:szCs w:val="28"/>
        </w:rPr>
        <w:drawing>
          <wp:inline distT="0" distB="0" distL="0" distR="0">
            <wp:extent cx="5203825" cy="2652395"/>
            <wp:effectExtent l="0" t="0" r="0" b="0"/>
            <wp:docPr id="8" name="Рисунок 2" descr="Permanent migration flows to OECD countries, 2007-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2" descr="Permanent migration flows to OECD countries, 2007-20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212085" cy="2656523"/>
                    </a:xfrm>
                    <a:prstGeom prst="rect">
                      <a:avLst/>
                    </a:prstGeom>
                    <a:noFill/>
                    <a:ln>
                      <a:noFill/>
                    </a:ln>
                  </pic:spPr>
                </pic:pic>
              </a:graphicData>
            </a:graphic>
          </wp:inline>
        </w:drawing>
      </w:r>
    </w:p>
    <w:p>
      <w:pPr>
        <w:pStyle w:val="3"/>
        <w:spacing w:before="0" w:line="240" w:lineRule="auto"/>
        <w:ind w:firstLine="567"/>
        <w:jc w:val="both"/>
        <w:rPr>
          <w:rFonts w:ascii="Times New Roman" w:hAnsi="Times New Roman" w:cs="Times New Roman"/>
          <w:b w:val="0"/>
          <w:i/>
          <w:iCs/>
          <w:color w:val="191919" w:themeColor="background1" w:themeShade="1A"/>
          <w:sz w:val="28"/>
          <w:szCs w:val="28"/>
          <w:lang w:val="en-US"/>
        </w:rPr>
      </w:pPr>
      <w:r>
        <w:rPr>
          <w:rFonts w:ascii="Times New Roman" w:hAnsi="Times New Roman" w:cs="Times New Roman"/>
          <w:i/>
          <w:iCs/>
          <w:color w:val="191919" w:themeColor="background1" w:themeShade="1A"/>
          <w:sz w:val="28"/>
          <w:szCs w:val="28"/>
          <w:lang w:val="en-US"/>
        </w:rPr>
        <w:t>Definition</w:t>
      </w:r>
    </w:p>
    <w:p>
      <w:pPr>
        <w:pStyle w:val="32"/>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Migration flows “refer to the number of migrants entering or leaving a given country during a given period of time, usually one calendar year” (</w:t>
      </w:r>
      <w:r>
        <w:fldChar w:fldCharType="begin"/>
      </w:r>
      <w:r>
        <w:instrText xml:space="preserve"> HYPERLINK "https://unstats.un.org/unsd/statcom/48th-session/documents/BG-4a-Migration-Handbook-E.pdf" \t "_blank" </w:instrText>
      </w:r>
      <w:r>
        <w:fldChar w:fldCharType="separate"/>
      </w:r>
      <w:r>
        <w:rPr>
          <w:rStyle w:val="13"/>
          <w:color w:val="191919" w:themeColor="background1" w:themeShade="1A"/>
          <w:sz w:val="28"/>
          <w:szCs w:val="28"/>
          <w:lang w:val="en-US"/>
        </w:rPr>
        <w:t>UN SD, 2017</w:t>
      </w:r>
      <w:r>
        <w:rPr>
          <w:rStyle w:val="13"/>
          <w:color w:val="191919" w:themeColor="background1" w:themeShade="1A"/>
          <w:sz w:val="28"/>
          <w:szCs w:val="28"/>
          <w:lang w:val="en-US"/>
        </w:rPr>
        <w:fldChar w:fldCharType="end"/>
      </w:r>
      <w:r>
        <w:rPr>
          <w:color w:val="191919" w:themeColor="background1" w:themeShade="1A"/>
          <w:sz w:val="28"/>
          <w:szCs w:val="28"/>
          <w:lang w:val="en-US"/>
        </w:rPr>
        <w:t>). However, countries use different concepts, definitions and data collection methodologies to compile statistics on migration flows. Definitions of who counts as an international migrant vary over time in the same country and across countries.</w:t>
      </w:r>
    </w:p>
    <w:p>
      <w:pPr>
        <w:pStyle w:val="4"/>
        <w:jc w:val="both"/>
        <w:rPr>
          <w:i/>
          <w:iCs/>
          <w:color w:val="191919" w:themeColor="background1" w:themeShade="1A"/>
          <w:sz w:val="28"/>
          <w:szCs w:val="28"/>
          <w:lang w:val="en-US"/>
        </w:rPr>
      </w:pPr>
      <w:r>
        <w:rPr>
          <w:i/>
          <w:iCs/>
          <w:color w:val="191919" w:themeColor="background1" w:themeShade="1A"/>
          <w:sz w:val="28"/>
          <w:szCs w:val="28"/>
          <w:lang w:val="en-US"/>
        </w:rPr>
        <w:t>Recent trends</w:t>
      </w:r>
    </w:p>
    <w:p>
      <w:pPr>
        <w:pStyle w:val="32"/>
        <w:spacing w:before="0" w:beforeAutospacing="0" w:after="0" w:afterAutospacing="0"/>
        <w:ind w:firstLine="567"/>
        <w:jc w:val="both"/>
        <w:rPr>
          <w:iCs/>
          <w:color w:val="191919" w:themeColor="background1" w:themeShade="1A"/>
          <w:sz w:val="28"/>
          <w:szCs w:val="28"/>
          <w:lang w:val="en-US"/>
        </w:rPr>
      </w:pPr>
      <w:r>
        <w:rPr>
          <w:iCs/>
          <w:color w:val="191919" w:themeColor="background1" w:themeShade="1A"/>
          <w:sz w:val="28"/>
          <w:szCs w:val="28"/>
          <w:lang w:val="en-US"/>
        </w:rPr>
        <w:t>Due to the lack of comparable data in many regions in the world, it is difficult to describe global trends of migration flows. Annual, comparable migration flows data are largely limited to countries in the </w:t>
      </w:r>
      <w:r>
        <w:fldChar w:fldCharType="begin"/>
      </w:r>
      <w:r>
        <w:instrText xml:space="preserve"> HYPERLINK "http://www.oecd.org/els/mig/keystat.htm" \t "_blank" </w:instrText>
      </w:r>
      <w:r>
        <w:fldChar w:fldCharType="separate"/>
      </w:r>
      <w:r>
        <w:rPr>
          <w:rStyle w:val="13"/>
          <w:iCs/>
          <w:color w:val="191919" w:themeColor="background1" w:themeShade="1A"/>
          <w:sz w:val="28"/>
          <w:szCs w:val="28"/>
          <w:u w:val="none"/>
          <w:lang w:val="en-US"/>
        </w:rPr>
        <w:t>Organization for Economic Co-operation and Development (OECD)</w:t>
      </w:r>
      <w:r>
        <w:rPr>
          <w:rStyle w:val="13"/>
          <w:iCs/>
          <w:color w:val="191919" w:themeColor="background1" w:themeShade="1A"/>
          <w:sz w:val="28"/>
          <w:szCs w:val="28"/>
          <w:u w:val="none"/>
          <w:lang w:val="en-US"/>
        </w:rPr>
        <w:fldChar w:fldCharType="end"/>
      </w:r>
      <w:r>
        <w:rPr>
          <w:iCs/>
          <w:color w:val="191919" w:themeColor="background1" w:themeShade="1A"/>
          <w:sz w:val="28"/>
          <w:szCs w:val="28"/>
          <w:lang w:val="en-US"/>
        </w:rPr>
        <w:t>. In 2016, the total number of permanent entries in OECD countries was approaching 5 million. After a strong increase at the turn of the century and a peak in 2007, permanent inflows in OECD countries fell sharply in 2008 and 2009, in response to the global financial crisis. Since 2011, migration flows have increased by almost 25 per cent from 4 million to almost 5 million (OECD, 2017). This increase is largely due to humanitarian migration to Europe. Global estimates based on census data suggest that 0.5 per cent – or approximately 37 million people – left their native country to live in another country between 2010 and 2015 (</w:t>
      </w:r>
      <w:r>
        <w:fldChar w:fldCharType="begin"/>
      </w:r>
      <w:r>
        <w:instrText xml:space="preserve"> HYPERLINK "https://www.oeaw.ac.at/fileadmin/subsites/Institute/VID/PDF/Publications/Working_Papers/WP2016_02.pdf" \t "_blank" </w:instrText>
      </w:r>
      <w:r>
        <w:fldChar w:fldCharType="separate"/>
      </w:r>
      <w:r>
        <w:rPr>
          <w:rStyle w:val="13"/>
          <w:iCs/>
          <w:color w:val="191919" w:themeColor="background1" w:themeShade="1A"/>
          <w:sz w:val="28"/>
          <w:szCs w:val="28"/>
          <w:u w:val="none"/>
          <w:lang w:val="en-US"/>
        </w:rPr>
        <w:t>Abel, 2016</w:t>
      </w:r>
      <w:r>
        <w:rPr>
          <w:rStyle w:val="13"/>
          <w:iCs/>
          <w:color w:val="191919" w:themeColor="background1" w:themeShade="1A"/>
          <w:sz w:val="28"/>
          <w:szCs w:val="28"/>
          <w:u w:val="none"/>
          <w:lang w:val="en-US"/>
        </w:rPr>
        <w:fldChar w:fldCharType="end"/>
      </w:r>
      <w:r>
        <w:rPr>
          <w:iCs/>
          <w:color w:val="191919" w:themeColor="background1" w:themeShade="1A"/>
          <w:sz w:val="28"/>
          <w:szCs w:val="28"/>
          <w:lang w:val="en-US"/>
        </w:rPr>
        <w:t>).</w:t>
      </w:r>
    </w:p>
    <w:p>
      <w:pPr>
        <w:pStyle w:val="3"/>
        <w:spacing w:before="0" w:line="240" w:lineRule="auto"/>
        <w:jc w:val="both"/>
        <w:rPr>
          <w:rFonts w:ascii="Times New Roman" w:hAnsi="Times New Roman" w:cs="Times New Roman"/>
          <w:b w:val="0"/>
          <w:i/>
          <w:iCs/>
          <w:color w:val="191919" w:themeColor="background1" w:themeShade="1A"/>
          <w:sz w:val="28"/>
          <w:szCs w:val="28"/>
          <w:lang w:val="en-US"/>
        </w:rPr>
      </w:pPr>
      <w:r>
        <w:rPr>
          <w:rFonts w:ascii="Times New Roman" w:hAnsi="Times New Roman" w:cs="Times New Roman"/>
          <w:i/>
          <w:iCs/>
          <w:color w:val="191919" w:themeColor="background1" w:themeShade="1A"/>
          <w:sz w:val="28"/>
          <w:szCs w:val="28"/>
          <w:lang w:val="en-US"/>
        </w:rPr>
        <w:t>Data sources &amp; measurement</w:t>
      </w:r>
    </w:p>
    <w:p>
      <w:pPr>
        <w:pStyle w:val="32"/>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Statistics on migration flows are based on a variety of data sources depending on the country. Countries may calculate migration flows based on information from administrative sources, such as data derived from issuance of temporary or permanent residence permits and population registries, or they may use sample survey data. Some countries report data on annual flows to the UN Statistics Division (UN SD), who has a mandate to collect migration statistics, including on migration flows, from countries through the </w:t>
      </w:r>
      <w:r>
        <w:fldChar w:fldCharType="begin"/>
      </w:r>
      <w:r>
        <w:instrText xml:space="preserve"> HYPERLINK "https://unstats.un.org/unsd/demographic/products/dyb/dyb2.htm" \t "_blank" </w:instrText>
      </w:r>
      <w:r>
        <w:fldChar w:fldCharType="separate"/>
      </w:r>
      <w:r>
        <w:rPr>
          <w:rStyle w:val="13"/>
          <w:color w:val="191919" w:themeColor="background1" w:themeShade="1A"/>
          <w:sz w:val="28"/>
          <w:szCs w:val="28"/>
          <w:u w:val="none"/>
          <w:lang w:val="en-US"/>
        </w:rPr>
        <w:t>Demographic Yearbook</w:t>
      </w:r>
      <w:r>
        <w:rPr>
          <w:rStyle w:val="13"/>
          <w:color w:val="191919" w:themeColor="background1" w:themeShade="1A"/>
          <w:sz w:val="28"/>
          <w:szCs w:val="28"/>
          <w:u w:val="none"/>
          <w:lang w:val="en-US"/>
        </w:rPr>
        <w:fldChar w:fldCharType="end"/>
      </w:r>
      <w:r>
        <w:rPr>
          <w:color w:val="191919" w:themeColor="background1" w:themeShade="1A"/>
          <w:sz w:val="28"/>
          <w:szCs w:val="28"/>
          <w:lang w:val="en-US"/>
        </w:rPr>
        <w:t> data collection system. Some countries report data to OECD or the Statistical Office of the European Union (</w:t>
      </w:r>
      <w:r>
        <w:fldChar w:fldCharType="begin"/>
      </w:r>
      <w:r>
        <w:rPr>
          <w:lang w:val="en-US"/>
        </w:rPr>
        <w:instrText xml:space="preserve"> HYPERLINK "http://ec.europa.eu/eurostat/data/database" \t "_blank" </w:instrText>
      </w:r>
      <w:r>
        <w:fldChar w:fldCharType="separate"/>
      </w:r>
      <w:r>
        <w:rPr>
          <w:rStyle w:val="13"/>
          <w:color w:val="191919" w:themeColor="background1" w:themeShade="1A"/>
          <w:sz w:val="28"/>
          <w:szCs w:val="28"/>
          <w:u w:val="none"/>
          <w:lang w:val="en-US"/>
        </w:rPr>
        <w:t>Eurostat</w:t>
      </w:r>
      <w:r>
        <w:rPr>
          <w:rStyle w:val="13"/>
          <w:color w:val="191919" w:themeColor="background1" w:themeShade="1A"/>
          <w:sz w:val="28"/>
          <w:szCs w:val="28"/>
          <w:u w:val="none"/>
          <w:lang w:val="en-US"/>
        </w:rPr>
        <w:fldChar w:fldCharType="end"/>
      </w:r>
      <w:r>
        <w:rPr>
          <w:color w:val="191919" w:themeColor="background1" w:themeShade="1A"/>
          <w:sz w:val="28"/>
          <w:szCs w:val="28"/>
          <w:lang w:val="en-US"/>
        </w:rPr>
        <w:t>) as well. OECD data on permanent migration inflows allow to distinguish between different types of migration flows including work, family and humanitarian migration (OECD, 2017). However, the number of countries reporting flow data is limited and the data are often not harmonized.</w:t>
      </w:r>
    </w:p>
    <w:p>
      <w:pPr>
        <w:pStyle w:val="32"/>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UN Department of Economic and Social Affairs (UN DESA) has compiled data on the flows of international migrants to and from selected countries since 2005. The </w:t>
      </w:r>
      <w:r>
        <w:fldChar w:fldCharType="begin"/>
      </w:r>
      <w:r>
        <w:instrText xml:space="preserve"> HYPERLINK "http://www.un.org/en/development/desa/population/migration/data/empirical2/migrationflows.shtml" \t "_blank" </w:instrText>
      </w:r>
      <w:r>
        <w:fldChar w:fldCharType="separate"/>
      </w:r>
      <w:r>
        <w:rPr>
          <w:rStyle w:val="13"/>
          <w:color w:val="191919" w:themeColor="background1" w:themeShade="1A"/>
          <w:sz w:val="28"/>
          <w:szCs w:val="28"/>
          <w:u w:val="none"/>
          <w:lang w:val="en-US"/>
        </w:rPr>
        <w:t>latest Revision, in 2015</w:t>
      </w:r>
      <w:r>
        <w:rPr>
          <w:rStyle w:val="13"/>
          <w:color w:val="191919" w:themeColor="background1" w:themeShade="1A"/>
          <w:sz w:val="28"/>
          <w:szCs w:val="28"/>
          <w:u w:val="none"/>
          <w:lang w:val="en-US"/>
        </w:rPr>
        <w:fldChar w:fldCharType="end"/>
      </w:r>
      <w:r>
        <w:rPr>
          <w:color w:val="191919" w:themeColor="background1" w:themeShade="1A"/>
          <w:sz w:val="28"/>
          <w:szCs w:val="28"/>
          <w:lang w:val="en-US"/>
        </w:rPr>
        <w:t>, contained data from 45 countries that collected this information (only 43 on emigration flows) – a steady increase compared to 15 countries in 2005, and 29 countries in 2008. Eurostat provides </w:t>
      </w:r>
      <w:r>
        <w:fldChar w:fldCharType="begin"/>
      </w:r>
      <w:r>
        <w:instrText xml:space="preserve"> HYPERLINK "http://ec.europa.eu/eurostat/web/population-demography-migration-projections/migration-and-citizenship-data/database" \t "_blank" </w:instrText>
      </w:r>
      <w:r>
        <w:fldChar w:fldCharType="separate"/>
      </w:r>
      <w:r>
        <w:rPr>
          <w:rStyle w:val="13"/>
          <w:color w:val="191919" w:themeColor="background1" w:themeShade="1A"/>
          <w:sz w:val="28"/>
          <w:szCs w:val="28"/>
          <w:u w:val="none"/>
          <w:lang w:val="en-US"/>
        </w:rPr>
        <w:t>flows data</w:t>
      </w:r>
      <w:r>
        <w:rPr>
          <w:rStyle w:val="13"/>
          <w:color w:val="191919" w:themeColor="background1" w:themeShade="1A"/>
          <w:sz w:val="28"/>
          <w:szCs w:val="28"/>
          <w:u w:val="none"/>
          <w:lang w:val="en-US"/>
        </w:rPr>
        <w:fldChar w:fldCharType="end"/>
      </w:r>
      <w:r>
        <w:rPr>
          <w:color w:val="191919" w:themeColor="background1" w:themeShade="1A"/>
          <w:sz w:val="28"/>
          <w:szCs w:val="28"/>
          <w:lang w:val="en-US"/>
        </w:rPr>
        <w:t> disaggregated by </w:t>
      </w:r>
      <w:r>
        <w:fldChar w:fldCharType="begin"/>
      </w:r>
      <w:r>
        <w:instrText xml:space="preserve"> HYPERLINK "https://migrationdataportal.org/themes/child-migrants-0" </w:instrText>
      </w:r>
      <w:r>
        <w:fldChar w:fldCharType="separate"/>
      </w:r>
      <w:r>
        <w:rPr>
          <w:rStyle w:val="13"/>
          <w:color w:val="191919" w:themeColor="background1" w:themeShade="1A"/>
          <w:sz w:val="28"/>
          <w:szCs w:val="28"/>
          <w:u w:val="none"/>
          <w:lang w:val="en-US"/>
        </w:rPr>
        <w:t>age</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sex, covering the EU-28, Iceland, Liechtenstein, Norway and Switzerland. In addition, UN SD provides statistics on </w:t>
      </w:r>
      <w:r>
        <w:fldChar w:fldCharType="begin"/>
      </w:r>
      <w:r>
        <w:instrText xml:space="preserve"> HYPERLINK "https://unstats.un.org/unsd/demographic/products/dyb/dyb_mf/dyb_mf.htm" \t "_blank" </w:instrText>
      </w:r>
      <w:r>
        <w:fldChar w:fldCharType="separate"/>
      </w:r>
      <w:r>
        <w:rPr>
          <w:rStyle w:val="13"/>
          <w:color w:val="191919" w:themeColor="background1" w:themeShade="1A"/>
          <w:sz w:val="28"/>
          <w:szCs w:val="28"/>
          <w:u w:val="none"/>
          <w:lang w:val="en-US"/>
        </w:rPr>
        <w:t>international travel and migration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through their </w:t>
      </w:r>
      <w:r>
        <w:fldChar w:fldCharType="begin"/>
      </w:r>
      <w:r>
        <w:instrText xml:space="preserve"> HYPERLINK "https://unstats.un.org/unsd/demographic/products/dyb/dyb2.htm" \t "_blank" </w:instrText>
      </w:r>
      <w:r>
        <w:fldChar w:fldCharType="separate"/>
      </w:r>
      <w:r>
        <w:rPr>
          <w:rStyle w:val="13"/>
          <w:color w:val="191919" w:themeColor="background1" w:themeShade="1A"/>
          <w:sz w:val="28"/>
          <w:szCs w:val="28"/>
          <w:u w:val="none"/>
          <w:lang w:val="en-US"/>
        </w:rPr>
        <w:t>Demographic Yearbook</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These migration flows are disaggregated by reason for admission, purpose of staying or going abroad, age and sex. </w:t>
      </w:r>
      <w:r>
        <w:fldChar w:fldCharType="begin"/>
      </w:r>
      <w:r>
        <w:rPr>
          <w:lang w:val="en-US"/>
        </w:rPr>
        <w:instrText xml:space="preserve"> HYPERLINK "http://www.tandfonline.com/doi/abs/10.1080/01621459.2013.789435" \t "_blank" </w:instrText>
      </w:r>
      <w:r>
        <w:fldChar w:fldCharType="separate"/>
      </w:r>
      <w:r>
        <w:rPr>
          <w:rStyle w:val="13"/>
          <w:color w:val="191919" w:themeColor="background1" w:themeShade="1A"/>
          <w:sz w:val="28"/>
          <w:szCs w:val="28"/>
          <w:u w:val="none"/>
          <w:lang w:val="en-US"/>
        </w:rPr>
        <w:t>Raymer et al. (2013)</w:t>
      </w:r>
      <w:r>
        <w:rPr>
          <w:rStyle w:val="13"/>
          <w:color w:val="191919" w:themeColor="background1" w:themeShade="1A"/>
          <w:sz w:val="28"/>
          <w:szCs w:val="28"/>
          <w:u w:val="none"/>
          <w:lang w:val="en-US"/>
        </w:rPr>
        <w:fldChar w:fldCharType="end"/>
      </w:r>
      <w:r>
        <w:rPr>
          <w:color w:val="191919" w:themeColor="background1" w:themeShade="1A"/>
          <w:sz w:val="28"/>
          <w:szCs w:val="28"/>
          <w:lang w:val="en-US"/>
        </w:rPr>
        <w:t> also provide bilateral migration flows estimates by sex and age for European countries. </w:t>
      </w:r>
      <w:r>
        <w:fldChar w:fldCharType="begin"/>
      </w:r>
      <w:r>
        <w:rPr>
          <w:lang w:val="en-US"/>
        </w:rPr>
        <w:instrText xml:space="preserve"> HYPERLINK "http://opensky.ucar.edu/islandora/object/technotes:519" \t "_blank" </w:instrText>
      </w:r>
      <w:r>
        <w:fldChar w:fldCharType="separate"/>
      </w:r>
      <w:r>
        <w:rPr>
          <w:rStyle w:val="13"/>
          <w:color w:val="191919" w:themeColor="background1" w:themeShade="1A"/>
          <w:sz w:val="28"/>
          <w:szCs w:val="28"/>
          <w:u w:val="none"/>
          <w:lang w:val="en-US"/>
        </w:rPr>
        <w:t>Nawrotzki and Jiang (2015)</w:t>
      </w:r>
      <w:r>
        <w:rPr>
          <w:rStyle w:val="13"/>
          <w:color w:val="191919" w:themeColor="background1" w:themeShade="1A"/>
          <w:sz w:val="28"/>
          <w:szCs w:val="28"/>
          <w:u w:val="none"/>
          <w:lang w:val="en-US"/>
        </w:rPr>
        <w:fldChar w:fldCharType="end"/>
      </w:r>
      <w:r>
        <w:rPr>
          <w:color w:val="191919" w:themeColor="background1" w:themeShade="1A"/>
          <w:sz w:val="28"/>
          <w:szCs w:val="28"/>
          <w:lang w:val="en-US"/>
        </w:rPr>
        <w:t>estimated age and sex-specific bilateral </w:t>
      </w:r>
      <w:r>
        <w:rPr>
          <w:i/>
          <w:iCs/>
          <w:color w:val="191919" w:themeColor="background1" w:themeShade="1A"/>
          <w:sz w:val="28"/>
          <w:szCs w:val="28"/>
          <w:lang w:val="en-US"/>
        </w:rPr>
        <w:t>net </w:t>
      </w:r>
      <w:r>
        <w:rPr>
          <w:color w:val="191919" w:themeColor="background1" w:themeShade="1A"/>
          <w:sz w:val="28"/>
          <w:szCs w:val="28"/>
          <w:lang w:val="en-US"/>
        </w:rPr>
        <w:t>migration flows (the difference between migration inflows and outflows) around the year 2000; the information is contained in the </w:t>
      </w:r>
      <w:r>
        <w:fldChar w:fldCharType="begin"/>
      </w:r>
      <w:r>
        <w:instrText xml:space="preserve"> HYPERLINK "http://opensky.ucar.edu/islandora/object/technotes:519" \t "_blank" </w:instrText>
      </w:r>
      <w:r>
        <w:fldChar w:fldCharType="separate"/>
      </w:r>
      <w:r>
        <w:rPr>
          <w:rStyle w:val="13"/>
          <w:color w:val="191919" w:themeColor="background1" w:themeShade="1A"/>
          <w:sz w:val="28"/>
          <w:szCs w:val="28"/>
          <w:u w:val="none"/>
          <w:lang w:val="en-US"/>
        </w:rPr>
        <w:t>publicly available Community Demographic Model International Migration (CDM-IM) dataset</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32"/>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Given the lack of flow data at the global level, researchers have developed their own estimates of (bilateral) global migration flows based on 5-year intervals (see </w:t>
      </w:r>
      <w:r>
        <w:fldChar w:fldCharType="begin"/>
      </w:r>
      <w:r>
        <w:instrText xml:space="preserve"> HYPERLINK "http://science.sciencemag.org/content/343/6178/1520?keytype=ref&amp;siteid=sci&amp;ijkey=ypit4/xi7wo4M" \t "_blank" </w:instrText>
      </w:r>
      <w:r>
        <w:fldChar w:fldCharType="separate"/>
      </w:r>
      <w:r>
        <w:rPr>
          <w:rStyle w:val="13"/>
          <w:color w:val="191919" w:themeColor="background1" w:themeShade="1A"/>
          <w:sz w:val="28"/>
          <w:szCs w:val="28"/>
          <w:u w:val="none"/>
          <w:lang w:val="en-US"/>
        </w:rPr>
        <w:t>Abel and Sander</w:t>
      </w:r>
      <w:r>
        <w:rPr>
          <w:rStyle w:val="13"/>
          <w:color w:val="191919" w:themeColor="background1" w:themeShade="1A"/>
          <w:sz w:val="28"/>
          <w:szCs w:val="28"/>
          <w:u w:val="none"/>
          <w:lang w:val="en-US"/>
        </w:rPr>
        <w:fldChar w:fldCharType="end"/>
      </w:r>
      <w:r>
        <w:rPr>
          <w:color w:val="191919" w:themeColor="background1" w:themeShade="1A"/>
          <w:sz w:val="28"/>
          <w:szCs w:val="28"/>
          <w:lang w:val="en-US"/>
        </w:rPr>
        <w:t>, 2014; </w:t>
      </w:r>
      <w:r>
        <w:fldChar w:fldCharType="begin"/>
      </w:r>
      <w:r>
        <w:rPr>
          <w:lang w:val="en-US"/>
        </w:rPr>
        <w:instrText xml:space="preserve"> HYPERLINK "http://www.tandfonline.com/doi/abs/10.1080/01621459.2013.789435" \t "_blank" </w:instrText>
      </w:r>
      <w:r>
        <w:fldChar w:fldCharType="separate"/>
      </w:r>
      <w:r>
        <w:rPr>
          <w:rStyle w:val="13"/>
          <w:color w:val="191919" w:themeColor="background1" w:themeShade="1A"/>
          <w:sz w:val="28"/>
          <w:szCs w:val="28"/>
          <w:u w:val="none"/>
          <w:lang w:val="en-US"/>
        </w:rPr>
        <w:t>Raymer</w:t>
      </w:r>
      <w:r>
        <w:rPr>
          <w:rStyle w:val="13"/>
          <w:color w:val="191919" w:themeColor="background1" w:themeShade="1A"/>
          <w:sz w:val="28"/>
          <w:szCs w:val="28"/>
          <w:u w:val="none"/>
          <w:lang w:val="en-US"/>
        </w:rPr>
        <w:fldChar w:fldCharType="end"/>
      </w:r>
      <w:r>
        <w:rPr>
          <w:color w:val="191919" w:themeColor="background1" w:themeShade="1A"/>
          <w:sz w:val="28"/>
          <w:szCs w:val="28"/>
          <w:lang w:val="en-US"/>
        </w:rPr>
        <w:t> et al., 2013). These estimates are based on UN statistics on changes in migrant stocks over time. Statistics on bilateral migration flows are also available from the </w:t>
      </w:r>
      <w:r>
        <w:fldChar w:fldCharType="begin"/>
      </w:r>
      <w:r>
        <w:instrText xml:space="preserve"> HYPERLINK "https://www.imi.ox.ac.uk/data/demig-data/demig-c2c-data" \t "_blank" </w:instrText>
      </w:r>
      <w:r>
        <w:fldChar w:fldCharType="separate"/>
      </w:r>
      <w:r>
        <w:rPr>
          <w:rStyle w:val="13"/>
          <w:color w:val="191919" w:themeColor="background1" w:themeShade="1A"/>
          <w:sz w:val="28"/>
          <w:szCs w:val="28"/>
          <w:u w:val="none"/>
          <w:lang w:val="en-US"/>
        </w:rPr>
        <w:t>DEMIG Country-to-Country database (C2C)</w:t>
      </w:r>
      <w:r>
        <w:rPr>
          <w:rStyle w:val="13"/>
          <w:color w:val="191919" w:themeColor="background1" w:themeShade="1A"/>
          <w:sz w:val="28"/>
          <w:szCs w:val="28"/>
          <w:u w:val="none"/>
          <w:lang w:val="en-US"/>
        </w:rPr>
        <w:fldChar w:fldCharType="end"/>
      </w:r>
      <w:r>
        <w:rPr>
          <w:color w:val="191919" w:themeColor="background1" w:themeShade="1A"/>
          <w:sz w:val="28"/>
          <w:szCs w:val="28"/>
          <w:lang w:val="en-US"/>
        </w:rPr>
        <w:t> of the University of Oxford, which contains bilateral migration flows data for 34 countries, and from up to 236 countries for the period 1946-2011. The database also provides gender breakdowns where available and more historical depth.</w:t>
      </w:r>
    </w:p>
    <w:p>
      <w:pPr>
        <w:pStyle w:val="32"/>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International Organization for Migration’s Displacement Tracking Matrix (</w:t>
      </w:r>
      <w:r>
        <w:fldChar w:fldCharType="begin"/>
      </w:r>
      <w:r>
        <w:instrText xml:space="preserve"> HYPERLINK "https://displacement.iom.int/" \t "_blank" </w:instrText>
      </w:r>
      <w:r>
        <w:fldChar w:fldCharType="separate"/>
      </w:r>
      <w:r>
        <w:rPr>
          <w:rStyle w:val="13"/>
          <w:color w:val="191919" w:themeColor="background1" w:themeShade="1A"/>
          <w:sz w:val="28"/>
          <w:szCs w:val="28"/>
          <w:u w:val="none"/>
          <w:lang w:val="en-US"/>
        </w:rPr>
        <w:t>DTM</w:t>
      </w:r>
      <w:r>
        <w:rPr>
          <w:rStyle w:val="13"/>
          <w:color w:val="191919" w:themeColor="background1" w:themeShade="1A"/>
          <w:sz w:val="28"/>
          <w:szCs w:val="28"/>
          <w:u w:val="none"/>
          <w:lang w:val="en-US"/>
        </w:rPr>
        <w:fldChar w:fldCharType="end"/>
      </w:r>
      <w:r>
        <w:rPr>
          <w:color w:val="191919" w:themeColor="background1" w:themeShade="1A"/>
          <w:sz w:val="28"/>
          <w:szCs w:val="28"/>
          <w:lang w:val="en-US"/>
        </w:rPr>
        <w:t>), a system to track and monitoring population displacement and mobility, collects migration flows data through flow monitoring component in more than 30 countries. </w:t>
      </w:r>
      <w:r>
        <w:fldChar w:fldCharType="begin"/>
      </w:r>
      <w:r>
        <w:instrText xml:space="preserve"> HYPERLINK "https://migrationdataportal.org/themes/forced-migration-or-displacement" \t "_blank" </w:instrText>
      </w:r>
      <w:r>
        <w:fldChar w:fldCharType="separate"/>
      </w:r>
      <w:r>
        <w:rPr>
          <w:rStyle w:val="13"/>
          <w:color w:val="191919" w:themeColor="background1" w:themeShade="1A"/>
          <w:sz w:val="28"/>
          <w:szCs w:val="28"/>
          <w:u w:val="none"/>
          <w:lang w:val="en-US"/>
        </w:rPr>
        <w:t>DTM flow monitoring</w:t>
      </w:r>
      <w:r>
        <w:rPr>
          <w:rStyle w:val="13"/>
          <w:color w:val="191919" w:themeColor="background1" w:themeShade="1A"/>
          <w:sz w:val="28"/>
          <w:szCs w:val="28"/>
          <w:u w:val="none"/>
          <w:lang w:val="en-US"/>
        </w:rPr>
        <w:fldChar w:fldCharType="end"/>
      </w:r>
      <w:r>
        <w:rPr>
          <w:color w:val="191919" w:themeColor="background1" w:themeShade="1A"/>
          <w:sz w:val="28"/>
          <w:szCs w:val="28"/>
          <w:lang w:val="en-US"/>
        </w:rPr>
        <w:t> assesses areas of high mobility, often at key entry, exit and transit locations. Flow monitoring activities aim to derive quantitative estimates of the flow of individuals through specific locations and to collect information about the profiles, intentions and needs of the people moving. </w:t>
      </w:r>
      <w:r>
        <w:fldChar w:fldCharType="begin"/>
      </w:r>
      <w:r>
        <w:instrText xml:space="preserve"> HYPERLINK "http://migrationdataportal.org/tools" </w:instrText>
      </w:r>
      <w:r>
        <w:fldChar w:fldCharType="separate"/>
      </w:r>
      <w:r>
        <w:rPr>
          <w:rStyle w:val="13"/>
          <w:color w:val="191919" w:themeColor="background1" w:themeShade="1A"/>
          <w:sz w:val="28"/>
          <w:szCs w:val="28"/>
          <w:u w:val="none"/>
          <w:lang w:val="en-US"/>
        </w:rPr>
        <w:t>Tools</w:t>
      </w:r>
      <w:r>
        <w:rPr>
          <w:rStyle w:val="13"/>
          <w:color w:val="191919" w:themeColor="background1" w:themeShade="1A"/>
          <w:sz w:val="28"/>
          <w:szCs w:val="28"/>
          <w:u w:val="none"/>
          <w:lang w:val="en-US"/>
        </w:rPr>
        <w:fldChar w:fldCharType="end"/>
      </w:r>
      <w:r>
        <w:rPr>
          <w:color w:val="191919" w:themeColor="background1" w:themeShade="1A"/>
          <w:sz w:val="28"/>
          <w:szCs w:val="28"/>
          <w:lang w:val="en-US"/>
        </w:rPr>
        <w:t> used under this component include baseline assessments at national and local levels, flow monitoring registries and in-depth surveys. </w:t>
      </w:r>
    </w:p>
    <w:p>
      <w:pPr>
        <w:pStyle w:val="3"/>
        <w:spacing w:before="0" w:line="240" w:lineRule="auto"/>
        <w:jc w:val="both"/>
        <w:rPr>
          <w:rFonts w:ascii="Times New Roman" w:hAnsi="Times New Roman" w:cs="Times New Roman"/>
          <w:b w:val="0"/>
          <w:i/>
          <w:iCs/>
          <w:color w:val="191919" w:themeColor="background1" w:themeShade="1A"/>
          <w:sz w:val="28"/>
          <w:szCs w:val="28"/>
          <w:lang w:val="en-US"/>
        </w:rPr>
      </w:pPr>
      <w:r>
        <w:rPr>
          <w:rFonts w:ascii="Times New Roman" w:hAnsi="Times New Roman" w:cs="Times New Roman"/>
          <w:i/>
          <w:iCs/>
          <w:color w:val="191919" w:themeColor="background1" w:themeShade="1A"/>
          <w:sz w:val="28"/>
          <w:szCs w:val="28"/>
          <w:lang w:val="en-US"/>
        </w:rPr>
        <w:t>Data strengths &amp; limitations</w:t>
      </w:r>
    </w:p>
    <w:p>
      <w:pPr>
        <w:pStyle w:val="32"/>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quantification of migration flows is fundamental for the analysis of contemporary migration patterns, particularly the impacts of different factors and policies in countries of origin and destination. Inflow statistics compiled by OECD are available by category of entry, such as whether people moved for reasons of work (including seasonal workers), family reunification, humanitarian protection or others. Numbers of people moving within areas of free circulation such as the </w:t>
      </w:r>
      <w:r>
        <w:fldChar w:fldCharType="begin"/>
      </w:r>
      <w:r>
        <w:instrText xml:space="preserve"> HYPERLINK "http://ec.europa.eu/eurostat/data/database" \t "_blank" </w:instrText>
      </w:r>
      <w:r>
        <w:fldChar w:fldCharType="separate"/>
      </w:r>
      <w:r>
        <w:rPr>
          <w:rStyle w:val="13"/>
          <w:color w:val="191919" w:themeColor="background1" w:themeShade="1A"/>
          <w:sz w:val="28"/>
          <w:szCs w:val="28"/>
          <w:u w:val="none"/>
          <w:lang w:val="en-US"/>
        </w:rPr>
        <w:t>European Union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or the Southern Common Market (Mercosur) are also indicated separately in the OECD’s </w:t>
      </w:r>
      <w:r>
        <w:fldChar w:fldCharType="begin"/>
      </w:r>
      <w:r>
        <w:instrText xml:space="preserve"> HYPERLINK "https://stats.oecd.org/Index.aspx?DataSetCode=MIG" \t "_blank" </w:instrText>
      </w:r>
      <w:r>
        <w:fldChar w:fldCharType="separate"/>
      </w:r>
      <w:r>
        <w:rPr>
          <w:rStyle w:val="13"/>
          <w:color w:val="191919" w:themeColor="background1" w:themeShade="1A"/>
          <w:sz w:val="28"/>
          <w:szCs w:val="28"/>
          <w:u w:val="none"/>
          <w:lang w:val="en-US"/>
        </w:rPr>
        <w:t>International Migration Database</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32"/>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However, the availability of international migration flows data are limited:</w:t>
      </w:r>
    </w:p>
    <w:p>
      <w:pPr>
        <w:numPr>
          <w:ilvl w:val="0"/>
          <w:numId w:val="29"/>
        </w:numPr>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Flow data are only compiled for 45 countries worldwide (</w:t>
      </w:r>
      <w:r>
        <w:fldChar w:fldCharType="begin"/>
      </w:r>
      <w:r>
        <w:instrText xml:space="preserve"> HYPERLINK "http://www.un.org/en/development/desa/population/migration/data/empirical2/migrationflows.shtml" \t "_blank" </w:instrText>
      </w:r>
      <w:r>
        <w:fldChar w:fldCharType="separate"/>
      </w:r>
      <w:r>
        <w:rPr>
          <w:rStyle w:val="13"/>
          <w:rFonts w:ascii="Times New Roman" w:hAnsi="Times New Roman" w:cs="Times New Roman"/>
          <w:color w:val="191919" w:themeColor="background1" w:themeShade="1A"/>
          <w:sz w:val="28"/>
          <w:szCs w:val="28"/>
          <w:u w:val="none"/>
          <w:lang w:val="en-US"/>
        </w:rPr>
        <w:t>UN DESA, 2015</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or estimated </w:t>
      </w:r>
      <w:r>
        <w:fldChar w:fldCharType="begin"/>
      </w:r>
      <w:r>
        <w:instrText xml:space="preserve"> HYPERLINK "http://science.sciencemag.org/content/343/6178/1520?keytype=ref&amp;siteid=sci&amp;ijkey=ypit4/xi7wo4M" \t "_blank" </w:instrText>
      </w:r>
      <w:r>
        <w:fldChar w:fldCharType="separate"/>
      </w:r>
      <w:r>
        <w:rPr>
          <w:rStyle w:val="13"/>
          <w:rFonts w:ascii="Times New Roman" w:hAnsi="Times New Roman" w:cs="Times New Roman"/>
          <w:color w:val="191919" w:themeColor="background1" w:themeShade="1A"/>
          <w:sz w:val="28"/>
          <w:szCs w:val="28"/>
          <w:u w:val="none"/>
          <w:lang w:val="en-US"/>
        </w:rPr>
        <w:t>by region</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w:t>
      </w:r>
    </w:p>
    <w:p>
      <w:pPr>
        <w:numPr>
          <w:ilvl w:val="0"/>
          <w:numId w:val="29"/>
        </w:numPr>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Those countries that do report flows often use different concepts, definitions and data collection methodologies which can make the comparison of flows across countries difficult.</w:t>
      </w:r>
    </w:p>
    <w:p>
      <w:pPr>
        <w:numPr>
          <w:ilvl w:val="0"/>
          <w:numId w:val="29"/>
        </w:numPr>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Flow monitoring tracks movement of people in and out of a country, but is limited in recording international migration, distinguishing one-way and circular migration, and using a systematic sampling frame.  </w:t>
      </w:r>
    </w:p>
    <w:p>
      <w:pPr>
        <w:numPr>
          <w:ilvl w:val="0"/>
          <w:numId w:val="29"/>
        </w:numPr>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There are challenges associated with the use of administrative sources to derive statistics on international migration flows: such sources usually record events (e.g. issuance/renewal/withdrawal of a residence permit) and may not necessarily reflect actual migration movements (e.g. a residence permit is not renewed but the person stays in the country, or the permit is renewed but the person leaves the country).</w:t>
      </w:r>
    </w:p>
    <w:p>
      <w:pPr>
        <w:spacing w:after="0" w:line="240" w:lineRule="auto"/>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3. Mineral resources and energy security</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bCs/>
          <w:color w:val="191919" w:themeColor="background1" w:themeShade="1A"/>
          <w:sz w:val="28"/>
          <w:szCs w:val="28"/>
          <w:lang w:val="en-US"/>
        </w:rPr>
        <w:t>Energy security</w:t>
      </w:r>
      <w:r>
        <w:rPr>
          <w:b/>
          <w:bCs/>
          <w:color w:val="191919" w:themeColor="background1" w:themeShade="1A"/>
          <w:sz w:val="28"/>
          <w:szCs w:val="28"/>
          <w:lang w:val="en-US"/>
        </w:rPr>
        <w:t> </w:t>
      </w:r>
      <w:r>
        <w:rPr>
          <w:color w:val="191919" w:themeColor="background1" w:themeShade="1A"/>
          <w:sz w:val="28"/>
          <w:szCs w:val="28"/>
          <w:lang w:val="en-US"/>
        </w:rPr>
        <w:t>is the association between </w:t>
      </w:r>
      <w:r>
        <w:fldChar w:fldCharType="begin"/>
      </w:r>
      <w:r>
        <w:instrText xml:space="preserve"> HYPERLINK "https://en.wikipedia.org/wiki/National_security" \o "National security" </w:instrText>
      </w:r>
      <w:r>
        <w:fldChar w:fldCharType="separate"/>
      </w:r>
      <w:r>
        <w:rPr>
          <w:rStyle w:val="13"/>
          <w:color w:val="191919" w:themeColor="background1" w:themeShade="1A"/>
          <w:sz w:val="28"/>
          <w:szCs w:val="28"/>
          <w:u w:val="none"/>
          <w:lang w:val="en-US"/>
        </w:rPr>
        <w:t>national security</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the availability of </w:t>
      </w:r>
      <w:r>
        <w:fldChar w:fldCharType="begin"/>
      </w:r>
      <w:r>
        <w:instrText xml:space="preserve"> HYPERLINK "https://en.wikipedia.org/wiki/Natural_resource" \o "Natural resource" </w:instrText>
      </w:r>
      <w:r>
        <w:fldChar w:fldCharType="separate"/>
      </w:r>
      <w:r>
        <w:rPr>
          <w:rStyle w:val="13"/>
          <w:color w:val="191919" w:themeColor="background1" w:themeShade="1A"/>
          <w:sz w:val="28"/>
          <w:szCs w:val="28"/>
          <w:u w:val="none"/>
          <w:lang w:val="en-US"/>
        </w:rPr>
        <w:t>natural resources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for </w:t>
      </w:r>
      <w:r>
        <w:fldChar w:fldCharType="begin"/>
      </w:r>
      <w:r>
        <w:instrText xml:space="preserve"> HYPERLINK "https://en.wikipedia.org/wiki/Energy_consumption" \o "Energy consumption" </w:instrText>
      </w:r>
      <w:r>
        <w:fldChar w:fldCharType="separate"/>
      </w:r>
      <w:r>
        <w:rPr>
          <w:rStyle w:val="13"/>
          <w:color w:val="191919" w:themeColor="background1" w:themeShade="1A"/>
          <w:sz w:val="28"/>
          <w:szCs w:val="28"/>
          <w:u w:val="none"/>
          <w:lang w:val="en-US"/>
        </w:rPr>
        <w:t>energy consumption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Access to (relatively) cheap </w:t>
      </w:r>
      <w:r>
        <w:fldChar w:fldCharType="begin"/>
      </w:r>
      <w:r>
        <w:instrText xml:space="preserve"> HYPERLINK "https://en.wikipedia.org/wiki/Energy" \o "Energy" </w:instrText>
      </w:r>
      <w:r>
        <w:fldChar w:fldCharType="separate"/>
      </w:r>
      <w:r>
        <w:rPr>
          <w:rStyle w:val="13"/>
          <w:color w:val="191919" w:themeColor="background1" w:themeShade="1A"/>
          <w:sz w:val="28"/>
          <w:szCs w:val="28"/>
          <w:u w:val="none"/>
          <w:lang w:val="en-US"/>
        </w:rPr>
        <w:t>energy</w:t>
      </w:r>
      <w:r>
        <w:rPr>
          <w:rStyle w:val="13"/>
          <w:color w:val="191919" w:themeColor="background1" w:themeShade="1A"/>
          <w:sz w:val="28"/>
          <w:szCs w:val="28"/>
          <w:u w:val="none"/>
          <w:lang w:val="en-US"/>
        </w:rPr>
        <w:fldChar w:fldCharType="end"/>
      </w:r>
      <w:r>
        <w:rPr>
          <w:color w:val="191919" w:themeColor="background1" w:themeShade="1A"/>
          <w:sz w:val="28"/>
          <w:szCs w:val="28"/>
          <w:lang w:val="en-US"/>
        </w:rPr>
        <w:t> has become essential to the functioning of modern economies. However, the uneven distribution of </w:t>
      </w:r>
      <w:r>
        <w:fldChar w:fldCharType="begin"/>
      </w:r>
      <w:r>
        <w:instrText xml:space="preserve"> HYPERLINK "https://en.wikipedia.org/wiki/Energy_supplies" \o "Energy supplies" </w:instrText>
      </w:r>
      <w:r>
        <w:fldChar w:fldCharType="separate"/>
      </w:r>
      <w:r>
        <w:rPr>
          <w:rStyle w:val="13"/>
          <w:color w:val="191919" w:themeColor="background1" w:themeShade="1A"/>
          <w:sz w:val="28"/>
          <w:szCs w:val="28"/>
          <w:u w:val="none"/>
          <w:lang w:val="en-US"/>
        </w:rPr>
        <w:t>energy supplies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among countries has led to significant vulnerabilities. International energy relations have contributed to the globalization of the world leading to energy security and energy vulnerability at the same time.</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the context of energy security, security of energy supply is an issue of utmost importance. Moreover, it is time to define "a global energy policy model, which not only aims at ensuring an efficient environmental protection but also at ensuring security of energy supply".</w:t>
      </w:r>
    </w:p>
    <w:p>
      <w:pPr>
        <w:pStyle w:val="10"/>
        <w:spacing w:before="0" w:beforeAutospacing="0" w:after="0" w:afterAutospacing="0"/>
        <w:ind w:firstLine="567"/>
        <w:jc w:val="both"/>
        <w:rPr>
          <w:color w:val="191919" w:themeColor="background1" w:themeShade="1A"/>
          <w:sz w:val="28"/>
          <w:szCs w:val="28"/>
          <w:lang w:val="en-US"/>
        </w:rPr>
      </w:pPr>
      <w:r>
        <w:fldChar w:fldCharType="begin"/>
      </w:r>
      <w:r>
        <w:instrText xml:space="preserve"> HYPERLINK "https://en.wikipedia.org/wiki/Renewable_energy" \o "Renewable energy" </w:instrText>
      </w:r>
      <w:r>
        <w:fldChar w:fldCharType="separate"/>
      </w:r>
      <w:r>
        <w:rPr>
          <w:rStyle w:val="13"/>
          <w:color w:val="191919" w:themeColor="background1" w:themeShade="1A"/>
          <w:sz w:val="28"/>
          <w:szCs w:val="28"/>
          <w:u w:val="none"/>
          <w:lang w:val="en-US"/>
        </w:rPr>
        <w:t>Renewable</w:t>
      </w:r>
      <w:r>
        <w:rPr>
          <w:rStyle w:val="13"/>
          <w:color w:val="191919" w:themeColor="background1" w:themeShade="1A"/>
          <w:sz w:val="28"/>
          <w:szCs w:val="28"/>
          <w:u w:val="none"/>
          <w:lang w:val="en-US"/>
        </w:rPr>
        <w:fldChar w:fldCharType="end"/>
      </w:r>
      <w:r>
        <w:rPr>
          <w:color w:val="191919" w:themeColor="background1" w:themeShade="1A"/>
          <w:sz w:val="28"/>
          <w:szCs w:val="28"/>
          <w:lang w:val="en-US"/>
        </w:rPr>
        <w:t> resources and significant opportunities for </w:t>
      </w:r>
      <w:r>
        <w:fldChar w:fldCharType="begin"/>
      </w:r>
      <w:r>
        <w:instrText xml:space="preserve"> HYPERLINK "https://en.wikipedia.org/wiki/Efficient_energy_use" \o "Efficient energy use" </w:instrText>
      </w:r>
      <w:r>
        <w:fldChar w:fldCharType="separate"/>
      </w:r>
      <w:r>
        <w:rPr>
          <w:rStyle w:val="13"/>
          <w:color w:val="191919" w:themeColor="background1" w:themeShade="1A"/>
          <w:sz w:val="28"/>
          <w:szCs w:val="28"/>
          <w:u w:val="none"/>
          <w:lang w:val="en-US"/>
        </w:rPr>
        <w:t>energy efficiency</w:t>
      </w:r>
      <w:r>
        <w:rPr>
          <w:rStyle w:val="13"/>
          <w:color w:val="191919" w:themeColor="background1" w:themeShade="1A"/>
          <w:sz w:val="28"/>
          <w:szCs w:val="28"/>
          <w:u w:val="none"/>
          <w:lang w:val="en-US"/>
        </w:rPr>
        <w:fldChar w:fldCharType="end"/>
      </w:r>
      <w:r>
        <w:rPr>
          <w:color w:val="191919" w:themeColor="background1" w:themeShade="1A"/>
          <w:sz w:val="28"/>
          <w:szCs w:val="28"/>
          <w:lang w:val="en-US"/>
        </w:rPr>
        <w:t> exist over wide geographical areas, in contrast to other energy sources, which are concentrated in a limited number of countries. Rapid deployment of renewable energy and energy efficiency, and technological diversification of energy sources, would result in significant energy security and economic benefits.</w:t>
      </w:r>
    </w:p>
    <w:p>
      <w:pPr>
        <w:pStyle w:val="3"/>
        <w:spacing w:before="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Energy and Natural Resources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Nowhere is the Firm’s "street reputation" – a small firm that accomplishes big-firm-quality work efficiently and expertly – more apropos than applied to its energy and natural resources lawyers. Representing major players in the natural resources industries and the dominant energy provider in the Rocky Mountains, these men and women help their clients achieve significant business objectives with dispatch, clarity, and efficiency.</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Firm’s energy and natural resources lawyers work in a number of areas and industries. Our clients are diverse. We represent public companies, developers, independent oil and gas companies, entrepreneurs, U.S., offshore, and multinational mining companies, ski area operators and owners, pipelines, utilities, and renewable energy developers. In the energy field, Firm lawyers deal effectively with energy law and regulation, including utility regulation and power purchase agreements.</w:t>
      </w:r>
    </w:p>
    <w:p>
      <w:pPr>
        <w:pStyle w:val="10"/>
        <w:spacing w:before="0" w:beforeAutospacing="0" w:after="0" w:afterAutospacing="0"/>
        <w:ind w:firstLine="567"/>
        <w:jc w:val="both"/>
        <w:rPr>
          <w:color w:val="191919" w:themeColor="background1" w:themeShade="1A"/>
          <w:sz w:val="28"/>
          <w:szCs w:val="28"/>
          <w:lang w:val="en-US"/>
        </w:rPr>
      </w:pPr>
      <w:r>
        <w:rPr>
          <w:rStyle w:val="14"/>
          <w:rFonts w:eastAsiaTheme="minorEastAsia"/>
          <w:color w:val="191919" w:themeColor="background1" w:themeShade="1A"/>
          <w:sz w:val="28"/>
          <w:szCs w:val="28"/>
          <w:lang w:val="en-US"/>
        </w:rPr>
        <w:t>Traditional Energy.</w:t>
      </w:r>
      <w:r>
        <w:rPr>
          <w:color w:val="191919" w:themeColor="background1" w:themeShade="1A"/>
          <w:sz w:val="28"/>
          <w:szCs w:val="28"/>
          <w:lang w:val="en-US"/>
        </w:rPr>
        <w:t> Firm lawyers have expertise and experience with energy law and regulation. We have extensive experience representing clients in proceedings before the state public utilities commission including matters involving rate making, resource planning, CPCNs to construct major transmission and generation resources, and demand-side management. Firm lawyers have negotiated and drafted major power purchase agreements, and have handled major asset purchases, financings, interconnection agreements, and co-generation matters for our clients involved in the energy industry.</w:t>
      </w:r>
    </w:p>
    <w:p>
      <w:pPr>
        <w:pStyle w:val="10"/>
        <w:spacing w:before="0" w:beforeAutospacing="0" w:after="0" w:afterAutospacing="0"/>
        <w:ind w:firstLine="567"/>
        <w:jc w:val="both"/>
        <w:rPr>
          <w:color w:val="191919" w:themeColor="background1" w:themeShade="1A"/>
          <w:sz w:val="28"/>
          <w:szCs w:val="28"/>
          <w:lang w:val="en-US"/>
        </w:rPr>
      </w:pPr>
      <w:r>
        <w:rPr>
          <w:rStyle w:val="14"/>
          <w:rFonts w:eastAsiaTheme="minorEastAsia"/>
          <w:color w:val="191919" w:themeColor="background1" w:themeShade="1A"/>
          <w:sz w:val="28"/>
          <w:szCs w:val="28"/>
          <w:lang w:val="en-US"/>
        </w:rPr>
        <w:t>Renewable Energy.</w:t>
      </w:r>
      <w:r>
        <w:rPr>
          <w:color w:val="191919" w:themeColor="background1" w:themeShade="1A"/>
          <w:sz w:val="28"/>
          <w:szCs w:val="28"/>
          <w:lang w:val="en-US"/>
        </w:rPr>
        <w:t> Firm lawyers are regularly involved with wind power, geothermal leasing and development, solar energy, and land-fill gas. We represent renewable energy companies in financing transactions and negotiate development contracts, power purchase agreements, rights-of-way, surface use agreements, and other critical agreements.</w:t>
      </w:r>
    </w:p>
    <w:p>
      <w:pPr>
        <w:pStyle w:val="10"/>
        <w:spacing w:before="0" w:beforeAutospacing="0" w:after="0" w:afterAutospacing="0"/>
        <w:ind w:firstLine="567"/>
        <w:jc w:val="both"/>
        <w:rPr>
          <w:color w:val="191919" w:themeColor="background1" w:themeShade="1A"/>
          <w:sz w:val="28"/>
          <w:szCs w:val="28"/>
          <w:lang w:val="en-US"/>
        </w:rPr>
      </w:pPr>
      <w:r>
        <w:rPr>
          <w:rStyle w:val="14"/>
          <w:rFonts w:eastAsiaTheme="minorEastAsia"/>
          <w:color w:val="191919" w:themeColor="background1" w:themeShade="1A"/>
          <w:sz w:val="28"/>
          <w:szCs w:val="28"/>
          <w:lang w:val="en-US"/>
        </w:rPr>
        <w:t>Oil and Gas.</w:t>
      </w:r>
      <w:r>
        <w:rPr>
          <w:color w:val="191919" w:themeColor="background1" w:themeShade="1A"/>
          <w:sz w:val="28"/>
          <w:szCs w:val="28"/>
          <w:lang w:val="en-US"/>
        </w:rPr>
        <w:t> The Firm represents clients in all aspects of the oil and gas industry – exploration, production, midstream, refining and marketing. We offer a full range of legal services to the oil and gas industry from transactional to litigation. Our attorneys have extensive experience in oil and gas transactions. In 2008, the Firm handled over US $1.2 billion in acquisitions and divestitures of producing oil and gas properties. Our practice is multi-jurisdictional including onshore U.S., offshore, and international. The Firm represents a range of clients from entrepreneurs, high net-worth individuals and independents to major oil companies.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We counsel clients with regard to entity formation, management agreements, incentive plans, raising capital, mergers and acquisitions. We assist our clients with financing options including private placements, project finance, mezzanine finance, private equity, venture capital, volumetric production payments and conventional loans.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We have expertise in all facets of oil and gas exploration including complex farmout, seismic option, acreage contribution, exploration, participation, pooling, operating, unit, development and data-sharing agreements. Our experience includes federal, state and tribal leasing, as well as international concessions and production sharing contracts. We represent clients with respect to exploratory, secondary and tertiary recovery units, gathering systems, processing plants, pipelines, natural gas storage plants, refineries and gas stations. Our attorneys advise our oil and gas clients with regard to leasing, permitting, surface access, multiple mineral development, environmental, operational, royalty and accounting issues. Our litigators represent our clients before state and federal administrative agencies, state and federal trial and appellate courts, as well as mediation and arbitration panels. We have a multi-disciplinary approach with expertise in corporate, partnership, tax, public lands, environmental, regulatory, creditor’s rights and civil litigation.</w:t>
      </w:r>
    </w:p>
    <w:p>
      <w:pPr>
        <w:pStyle w:val="10"/>
        <w:spacing w:before="0" w:beforeAutospacing="0" w:after="0" w:afterAutospacing="0"/>
        <w:ind w:firstLine="567"/>
        <w:jc w:val="both"/>
        <w:rPr>
          <w:color w:val="191919" w:themeColor="background1" w:themeShade="1A"/>
          <w:sz w:val="28"/>
          <w:szCs w:val="28"/>
          <w:lang w:val="en-US"/>
        </w:rPr>
      </w:pPr>
      <w:r>
        <w:rPr>
          <w:rStyle w:val="14"/>
          <w:rFonts w:eastAsiaTheme="minorEastAsia"/>
          <w:color w:val="191919" w:themeColor="background1" w:themeShade="1A"/>
          <w:sz w:val="28"/>
          <w:szCs w:val="28"/>
          <w:lang w:val="en-US"/>
        </w:rPr>
        <w:t>Mining.</w:t>
      </w:r>
      <w:r>
        <w:rPr>
          <w:color w:val="191919" w:themeColor="background1" w:themeShade="1A"/>
          <w:sz w:val="28"/>
          <w:szCs w:val="28"/>
          <w:lang w:val="en-US"/>
        </w:rPr>
        <w:t> The Firm represents both domestic and international mining companies in a broad variety of transactions. We have extensive experience in mergers and acquisitions and mining joint ventures. We draft, negotiate and advise clients with respect to virtually every type of agreement utilized in the mining industry, including purchase and sale agreements, joint ventures, options, exploration agreements, management agreements, contract mining agreements, royalties, consulting agreements, milling, smelting and refining agreements and related contracts. We also have significant experience with respect to secured and unsecured financing, including project loans, revolving credit facilities, inventory and machinery financing and gold and silver loans. In connection with mergers and acquisitions, we conduct due diligence investigations, advise clients with respect to the structuring of transactions and draft and negotiate transaction documents.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We have worked on complex resource transactions both in the United States and throughout the world. We have worked on mining projects and transactions in most of the countries in Latin America and in certain countries in Europe, Africa and Asia. As a result, we possess considerable expertise with respect to the structuring of international mining transactions.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We counsel our clients with respect to state and federal mining laws and related areas of the law, such as public land, water and environmental law. The firm represents our mining clients before administrative agencies and tribunals, including the Interior Board of Land Appeals and in state and federal court.</w:t>
      </w:r>
      <w:r>
        <w:rPr>
          <w:color w:val="191919" w:themeColor="background1" w:themeShade="1A"/>
          <w:sz w:val="28"/>
          <w:szCs w:val="28"/>
          <w:lang w:val="en-US"/>
        </w:rPr>
        <w:br w:type="textWrapping"/>
      </w:r>
      <w:r>
        <w:rPr>
          <w:color w:val="191919" w:themeColor="background1" w:themeShade="1A"/>
          <w:sz w:val="28"/>
          <w:szCs w:val="28"/>
          <w:lang w:val="en-US"/>
        </w:rPr>
        <w:t>The firm has been deeply involved with the resolution of conflicts between the developers of competing resources in the same lands, particularly conflicts that arise between coal and oil and gas operations.</w:t>
      </w:r>
    </w:p>
    <w:p>
      <w:pPr>
        <w:pStyle w:val="10"/>
        <w:spacing w:before="0" w:beforeAutospacing="0" w:after="0" w:afterAutospacing="0"/>
        <w:ind w:firstLine="567"/>
        <w:jc w:val="both"/>
        <w:rPr>
          <w:color w:val="191919" w:themeColor="background1" w:themeShade="1A"/>
          <w:sz w:val="28"/>
          <w:szCs w:val="28"/>
          <w:lang w:val="en-US"/>
        </w:rPr>
      </w:pPr>
      <w:r>
        <w:rPr>
          <w:rStyle w:val="14"/>
          <w:rFonts w:eastAsiaTheme="minorEastAsia"/>
          <w:color w:val="191919" w:themeColor="background1" w:themeShade="1A"/>
          <w:sz w:val="28"/>
          <w:szCs w:val="28"/>
          <w:lang w:val="en-US"/>
        </w:rPr>
        <w:t>Federal Lands.</w:t>
      </w:r>
      <w:r>
        <w:rPr>
          <w:color w:val="191919" w:themeColor="background1" w:themeShade="1A"/>
          <w:sz w:val="28"/>
          <w:szCs w:val="28"/>
          <w:lang w:val="en-US"/>
        </w:rPr>
        <w:t> The Firm provides permitting, regulatory, and litigation counsel on issues involving public lands, including lands managed by the Department of the Interior, Bureau of Land Management, and Forest Service. We advise a range of clients on federal lands issues, including renewable energy developers, oil and gas companies, mining companies, ski areas, and individuals. We help clients acquire, perfect, develop, defend, and dispose of interests in federal lands, including minerals and energy resources, resort special use permits, rights-of-way, leases, land exchanges, and other issues. The Firm has significant experience with federal land use planning, the preparation and defense of environmental review documents under the National Environmental Policy Act, and the laws applicable to federal lands.</w:t>
      </w:r>
    </w:p>
    <w:p>
      <w:pPr>
        <w:pStyle w:val="10"/>
        <w:spacing w:before="0" w:beforeAutospacing="0" w:after="0" w:afterAutospacing="0"/>
        <w:ind w:firstLine="567"/>
        <w:jc w:val="both"/>
        <w:rPr>
          <w:color w:val="191919" w:themeColor="background1" w:themeShade="1A"/>
          <w:sz w:val="28"/>
          <w:szCs w:val="28"/>
          <w:lang w:val="en-US"/>
        </w:rPr>
      </w:pPr>
      <w:r>
        <w:rPr>
          <w:rStyle w:val="14"/>
          <w:rFonts w:eastAsiaTheme="minorEastAsia"/>
          <w:color w:val="191919" w:themeColor="background1" w:themeShade="1A"/>
          <w:sz w:val="28"/>
          <w:szCs w:val="28"/>
          <w:lang w:val="en-US"/>
        </w:rPr>
        <w:t>Ski Area and Resort Development.</w:t>
      </w:r>
      <w:r>
        <w:rPr>
          <w:color w:val="191919" w:themeColor="background1" w:themeShade="1A"/>
          <w:sz w:val="28"/>
          <w:szCs w:val="28"/>
          <w:lang w:val="en-US"/>
        </w:rPr>
        <w:t> We advise ski area operators and owners on the acquisition, development, financing, and operation of ski areas on Forest Service lands under special use permits. Our lawyers provide counsel and handle disputes involving Forest Service special use permit terms and regulations, Forest Service ski area development decisions, land exchanges, ski area terrain expansions and development, wildlife regulation, snowmaking, environmental review under the National Environmental Policy Act, and federal land use planning and ski area development.</w:t>
      </w:r>
    </w:p>
    <w:p>
      <w:pPr>
        <w:pStyle w:val="10"/>
        <w:spacing w:before="0" w:beforeAutospacing="0" w:after="0" w:afterAutospacing="0"/>
        <w:ind w:firstLine="567"/>
        <w:jc w:val="both"/>
        <w:rPr>
          <w:color w:val="191919" w:themeColor="background1" w:themeShade="1A"/>
          <w:sz w:val="28"/>
          <w:szCs w:val="28"/>
          <w:lang w:val="en-US"/>
        </w:rPr>
      </w:pPr>
      <w:r>
        <w:rPr>
          <w:rStyle w:val="14"/>
          <w:rFonts w:eastAsiaTheme="minorEastAsia"/>
          <w:color w:val="191919" w:themeColor="background1" w:themeShade="1A"/>
          <w:sz w:val="28"/>
          <w:szCs w:val="28"/>
          <w:lang w:val="en-US"/>
        </w:rPr>
        <w:t>Natural Resources Litigation.</w:t>
      </w:r>
      <w:r>
        <w:rPr>
          <w:color w:val="191919" w:themeColor="background1" w:themeShade="1A"/>
          <w:sz w:val="28"/>
          <w:szCs w:val="28"/>
          <w:lang w:val="en-US"/>
        </w:rPr>
        <w:t> The Firm has represented clients in litigation and arbitration involving mineral leases, energy and natural resource supply agreements, operating agreements, joint venture agreements, mineral royalties, trade secrets, oil and gas development rights, environmental liabilities, toxic torts, mineral rights, surface damages, federal lands development, environmental review, and contract claims.</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hd w:val="clear" w:color="auto" w:fill="FFFFFF"/>
        <w:spacing w:after="0" w:line="240" w:lineRule="auto"/>
        <w:jc w:val="center"/>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Questions:</w:t>
      </w:r>
    </w:p>
    <w:p>
      <w:pPr>
        <w:pStyle w:val="19"/>
        <w:jc w:val="both"/>
        <w:rPr>
          <w:color w:val="191919" w:themeColor="background1" w:themeShade="1A"/>
          <w:sz w:val="28"/>
          <w:szCs w:val="28"/>
          <w:lang w:val="en-US"/>
        </w:rPr>
      </w:pPr>
      <w:r>
        <w:rPr>
          <w:color w:val="191919" w:themeColor="background1" w:themeShade="1A"/>
          <w:sz w:val="28"/>
          <w:szCs w:val="28"/>
          <w:lang w:val="en-US"/>
        </w:rPr>
        <w:t>Can you tell about the Global inequality and income distribution? How these process influence on the economy of Kazakhstan?</w:t>
      </w:r>
    </w:p>
    <w:p>
      <w:pPr>
        <w:pStyle w:val="19"/>
        <w:jc w:val="both"/>
        <w:rPr>
          <w:color w:val="191919" w:themeColor="background1" w:themeShade="1A"/>
          <w:sz w:val="28"/>
          <w:szCs w:val="28"/>
          <w:lang w:val="en-US"/>
        </w:rPr>
      </w:pPr>
      <w:r>
        <w:rPr>
          <w:color w:val="191919" w:themeColor="background1" w:themeShade="1A"/>
          <w:sz w:val="28"/>
          <w:szCs w:val="28"/>
          <w:lang w:val="en-US"/>
        </w:rPr>
        <w:t>Can you describe the Global and regional migration trends? What are the regional migration trends in Kazakhstan?</w:t>
      </w:r>
    </w:p>
    <w:p>
      <w:pPr>
        <w:pStyle w:val="19"/>
        <w:jc w:val="both"/>
        <w:rPr>
          <w:color w:val="191919" w:themeColor="background1" w:themeShade="1A"/>
          <w:sz w:val="28"/>
          <w:szCs w:val="28"/>
          <w:lang w:val="en-US"/>
        </w:rPr>
      </w:pPr>
      <w:r>
        <w:rPr>
          <w:color w:val="191919" w:themeColor="background1" w:themeShade="1A"/>
          <w:sz w:val="28"/>
          <w:szCs w:val="28"/>
          <w:lang w:val="en-US"/>
        </w:rPr>
        <w:t>Can you tell about the Mineral resources and energy security in the world? And situation with the Mineral resources and energy security in Kazakhstan.</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center"/>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References:</w:t>
      </w:r>
    </w:p>
    <w:p>
      <w:pPr>
        <w:numPr>
          <w:ilvl w:val="0"/>
          <w:numId w:val="30"/>
        </w:numPr>
        <w:tabs>
          <w:tab w:val="left" w:pos="426"/>
          <w:tab w:val="left" w:pos="851"/>
        </w:tabs>
        <w:spacing w:after="0" w:line="240" w:lineRule="auto"/>
        <w:jc w:val="both"/>
        <w:rPr>
          <w:rFonts w:ascii="Times New Roman" w:hAnsi="Times New Roman" w:cs="Times New Roman"/>
          <w:color w:val="191919" w:themeColor="background1" w:themeShade="1A"/>
          <w:sz w:val="28"/>
          <w:szCs w:val="28"/>
          <w:lang w:val="en-US"/>
        </w:rPr>
      </w:pPr>
      <w:r>
        <w:rPr>
          <w:rStyle w:val="25"/>
          <w:rFonts w:ascii="Times New Roman" w:hAnsi="Times New Roman" w:cs="Times New Roman"/>
          <w:color w:val="191919" w:themeColor="background1" w:themeShade="1A"/>
          <w:sz w:val="28"/>
          <w:szCs w:val="28"/>
          <w:lang w:val="en-US"/>
        </w:rPr>
        <w:t>“World Economy” – Definition. American English Definition of with Pronunciation by Macmillan Dictionary. N.p., n.d. Web. 02 Jan. 2017.</w:t>
      </w:r>
    </w:p>
    <w:p>
      <w:pPr>
        <w:pStyle w:val="10"/>
        <w:numPr>
          <w:ilvl w:val="0"/>
          <w:numId w:val="30"/>
        </w:numPr>
        <w:tabs>
          <w:tab w:val="left" w:pos="426"/>
          <w:tab w:val="left" w:pos="851"/>
        </w:tabs>
        <w:spacing w:before="0" w:beforeAutospacing="0" w:after="0" w:afterAutospacing="0"/>
        <w:jc w:val="both"/>
        <w:textAlignment w:val="baseline"/>
        <w:rPr>
          <w:color w:val="191919" w:themeColor="background1" w:themeShade="1A"/>
          <w:sz w:val="28"/>
          <w:szCs w:val="28"/>
          <w:lang w:val="en-US"/>
        </w:rPr>
      </w:pPr>
      <w:r>
        <w:rPr>
          <w:color w:val="191919" w:themeColor="background1" w:themeShade="1A"/>
          <w:sz w:val="28"/>
          <w:szCs w:val="28"/>
          <w:lang w:val="en-US"/>
        </w:rPr>
        <w:t>Baldwin, R (2017), “</w:t>
      </w:r>
      <w:r>
        <w:fldChar w:fldCharType="begin"/>
      </w:r>
      <w:r>
        <w:instrText xml:space="preserve"> HYPERLINK "http://www.cepr.org/active/publications/discussion_papers/dp.php?dpno=9103" </w:instrText>
      </w:r>
      <w:r>
        <w:fldChar w:fldCharType="separate"/>
      </w:r>
      <w:r>
        <w:rPr>
          <w:rStyle w:val="13"/>
          <w:color w:val="191919" w:themeColor="background1" w:themeShade="1A"/>
          <w:sz w:val="28"/>
          <w:szCs w:val="28"/>
          <w:u w:val="none"/>
          <w:lang w:val="en-US"/>
        </w:rPr>
        <w:t>Global Supply Chains: Why They Emerged, Why They Matter, and Where They are Going</w:t>
      </w:r>
      <w:r>
        <w:rPr>
          <w:rStyle w:val="13"/>
          <w:color w:val="191919" w:themeColor="background1" w:themeShade="1A"/>
          <w:sz w:val="28"/>
          <w:szCs w:val="28"/>
          <w:u w:val="none"/>
          <w:lang w:val="en-US"/>
        </w:rPr>
        <w:fldChar w:fldCharType="end"/>
      </w:r>
      <w:r>
        <w:rPr>
          <w:color w:val="191919" w:themeColor="background1" w:themeShade="1A"/>
          <w:sz w:val="28"/>
          <w:szCs w:val="28"/>
          <w:lang w:val="en-US"/>
        </w:rPr>
        <w:t>”, CEPR Discussion Paper 9103.</w:t>
      </w:r>
    </w:p>
    <w:p>
      <w:pPr>
        <w:pStyle w:val="10"/>
        <w:numPr>
          <w:ilvl w:val="0"/>
          <w:numId w:val="30"/>
        </w:numPr>
        <w:tabs>
          <w:tab w:val="left" w:pos="426"/>
          <w:tab w:val="left" w:pos="851"/>
        </w:tabs>
        <w:spacing w:before="0" w:beforeAutospacing="0" w:after="0" w:afterAutospacing="0"/>
        <w:jc w:val="both"/>
        <w:textAlignment w:val="baseline"/>
        <w:rPr>
          <w:color w:val="191919" w:themeColor="background1" w:themeShade="1A"/>
          <w:sz w:val="28"/>
          <w:szCs w:val="28"/>
          <w:lang w:val="en-US"/>
        </w:rPr>
      </w:pPr>
      <w:r>
        <w:rPr>
          <w:color w:val="191919" w:themeColor="background1" w:themeShade="1A"/>
          <w:sz w:val="28"/>
          <w:szCs w:val="28"/>
          <w:lang w:val="en-US"/>
        </w:rPr>
        <w:t xml:space="preserve">Kummritz, V (2016), “Global Value Chains: Benefiting the Domestic Economy?” CTEI Working Papers 2016-05, Centre for Trade and Economic Integration. </w:t>
      </w:r>
    </w:p>
    <w:p>
      <w:pPr>
        <w:pStyle w:val="10"/>
        <w:numPr>
          <w:ilvl w:val="0"/>
          <w:numId w:val="30"/>
        </w:numPr>
        <w:tabs>
          <w:tab w:val="left" w:pos="426"/>
          <w:tab w:val="left" w:pos="851"/>
        </w:tabs>
        <w:spacing w:before="0" w:beforeAutospacing="0" w:after="0" w:afterAutospacing="0"/>
        <w:jc w:val="both"/>
        <w:textAlignment w:val="baseline"/>
        <w:rPr>
          <w:color w:val="191919" w:themeColor="background1" w:themeShade="1A"/>
          <w:sz w:val="28"/>
          <w:szCs w:val="28"/>
          <w:lang w:val="en-US"/>
        </w:rPr>
      </w:pPr>
      <w:r>
        <w:rPr>
          <w:color w:val="191919" w:themeColor="background1" w:themeShade="1A"/>
          <w:sz w:val="28"/>
          <w:szCs w:val="28"/>
          <w:lang w:val="en-US"/>
        </w:rPr>
        <w:t>UNCTAD (2015), “World investment report 2015: Global value chains: Investment and trade for development”, Technical report, United Nations Publication, Geneva.</w:t>
      </w:r>
    </w:p>
    <w:p>
      <w:pPr>
        <w:numPr>
          <w:ilvl w:val="0"/>
          <w:numId w:val="30"/>
        </w:numPr>
        <w:tabs>
          <w:tab w:val="left" w:pos="426"/>
          <w:tab w:val="left" w:pos="851"/>
        </w:tabs>
        <w:spacing w:after="0" w:line="240" w:lineRule="auto"/>
        <w:jc w:val="both"/>
        <w:rPr>
          <w:rFonts w:ascii="Times New Roman" w:hAnsi="Times New Roman" w:cs="Times New Roman"/>
          <w:color w:val="191919" w:themeColor="background1" w:themeShade="1A"/>
          <w:sz w:val="28"/>
          <w:szCs w:val="28"/>
          <w:lang w:val="en-US"/>
        </w:rPr>
      </w:pPr>
      <w:r>
        <w:fldChar w:fldCharType="begin"/>
      </w:r>
      <w:r>
        <w:instrText xml:space="preserve"> HYPERLINK "http://www.imf.org/external/pubs/ft/weo/2017/01/weodata/weorept.aspx?pr.x=48&amp;pr.y=14&amp;sy=2012&amp;ey=2020&amp;scsm=1&amp;sort=country&amp;ds=.&amp;br=1&amp;c=512%2C668%2C914%2C672%2C612%2C946%2C614%2C137%2C311%2C962%2C213%2C674%2C911%2C676%2C193%2C548%2C122%2C556%2C912%2C678%2C313%2C181%2C419%2C867%2C513%2C682%2C316%2C684%2C913%2C273%2C124%2C868%2C339%2C921%2C638%2C948%2C514%2C943%2C218%2C686%2C963%2C688%2C616%2C518%2C223%2C728%2C516%2C558%2C918%2C138%2C748%2C196%2C618%2C278%2C624%2C692%2C522%2C694%2C622%2C142%2C156%2C449%2C626%2C564%2C628%2C565%2C228%2C283%2C924%2C853%2C233%2C288%2C632%2C293%2C636%2C566%2C634%2C964%2C238%2C182%2C662%2C453%2C960%2C968%2C423%2C922%2C935%2C714%2C128%2C862%2C611%2C135%2C321%2C716%2C243%2C456%2C248%2C722%2C469%2C942%2C253%2C718%2C642%2C724%2C643%2C576%2C939%2C936%2C644%2C961%2C819%2C813%2C172%2C199%2C132%2C733%2C646%2C184%2C648%2C524%2C915%2C361%2C134%2C362%2C652%2C364%2C174%2C732%2C328%2C366%2C258%2C734%2C656%2C144%2C654%2C146%2C336%2C463%2C263%2C528%2C268%2C923%2C532%2C738%2C944%2C578%2C176%2C537%2C534%2C742%2C536%2C866%2C429%2C369%2C433%2C744%2C178%2C186%2C436%2C925%2C136%2C869%2C343%2C746%2C158%2C926%2C439%2C466%2C916%2C112%2C664%2C111%2C826%2C298%2C542%2C927%2C967%2C846%2C443%2C299%2C917%2C582%2C544%2C474%2C941%2C754%2C446%2C698%2C666&amp;s=NGDPD&amp;grp=0&amp;a=" </w:instrText>
      </w:r>
      <w:r>
        <w:fldChar w:fldCharType="separate"/>
      </w:r>
      <w:r>
        <w:rPr>
          <w:rStyle w:val="13"/>
          <w:rFonts w:ascii="Times New Roman" w:hAnsi="Times New Roman" w:cs="Times New Roman"/>
          <w:iCs/>
          <w:color w:val="191919" w:themeColor="background1" w:themeShade="1A"/>
          <w:sz w:val="28"/>
          <w:szCs w:val="28"/>
          <w:u w:val="none"/>
          <w:lang w:val="en-US"/>
        </w:rPr>
        <w:t>“Gross domestic product, current prices”</w:t>
      </w:r>
      <w:r>
        <w:rPr>
          <w:rStyle w:val="13"/>
          <w:rFonts w:ascii="Times New Roman" w:hAnsi="Times New Roman" w:cs="Times New Roman"/>
          <w:iCs/>
          <w:color w:val="191919" w:themeColor="background1" w:themeShade="1A"/>
          <w:sz w:val="28"/>
          <w:szCs w:val="28"/>
          <w:u w:val="none"/>
          <w:lang w:val="en-US"/>
        </w:rPr>
        <w:fldChar w:fldCharType="end"/>
      </w:r>
      <w:r>
        <w:rPr>
          <w:rStyle w:val="15"/>
          <w:rFonts w:ascii="Times New Roman" w:hAnsi="Times New Roman" w:cs="Times New Roman"/>
          <w:i w:val="0"/>
          <w:color w:val="191919" w:themeColor="background1" w:themeShade="1A"/>
          <w:sz w:val="28"/>
          <w:szCs w:val="28"/>
          <w:lang w:val="en-US"/>
        </w:rPr>
        <w:t>. International Monetary Fund. International Monetary Fund. October 2015</w:t>
      </w:r>
      <w:r>
        <w:rPr>
          <w:rStyle w:val="26"/>
          <w:rFonts w:ascii="Times New Roman" w:hAnsi="Times New Roman" w:cs="Times New Roman"/>
          <w:iCs/>
          <w:color w:val="191919" w:themeColor="background1" w:themeShade="1A"/>
          <w:sz w:val="28"/>
          <w:szCs w:val="28"/>
          <w:lang w:val="en-US"/>
        </w:rPr>
        <w:t>. Retrieved </w:t>
      </w:r>
      <w:r>
        <w:rPr>
          <w:rStyle w:val="24"/>
          <w:rFonts w:ascii="Times New Roman" w:hAnsi="Times New Roman" w:cs="Times New Roman"/>
          <w:iCs/>
          <w:color w:val="191919" w:themeColor="background1" w:themeShade="1A"/>
          <w:sz w:val="28"/>
          <w:szCs w:val="28"/>
          <w:lang w:val="en-US"/>
        </w:rPr>
        <w:t>11 October</w:t>
      </w:r>
      <w:r>
        <w:rPr>
          <w:rStyle w:val="26"/>
          <w:rFonts w:ascii="Times New Roman" w:hAnsi="Times New Roman" w:cs="Times New Roman"/>
          <w:iCs/>
          <w:color w:val="191919" w:themeColor="background1" w:themeShade="1A"/>
          <w:sz w:val="28"/>
          <w:szCs w:val="28"/>
          <w:lang w:val="en-US"/>
        </w:rPr>
        <w:t> 2015</w:t>
      </w:r>
      <w:r>
        <w:rPr>
          <w:rStyle w:val="15"/>
          <w:rFonts w:ascii="Times New Roman" w:hAnsi="Times New Roman" w:cs="Times New Roman"/>
          <w:i w:val="0"/>
          <w:color w:val="191919" w:themeColor="background1" w:themeShade="1A"/>
          <w:sz w:val="28"/>
          <w:szCs w:val="28"/>
          <w:lang w:val="en-US"/>
        </w:rPr>
        <w:t>.</w:t>
      </w:r>
    </w:p>
    <w:p>
      <w:pPr>
        <w:numPr>
          <w:ilvl w:val="0"/>
          <w:numId w:val="30"/>
        </w:numPr>
        <w:tabs>
          <w:tab w:val="left" w:pos="426"/>
          <w:tab w:val="left" w:pos="851"/>
        </w:tabs>
        <w:spacing w:after="0" w:line="240" w:lineRule="auto"/>
        <w:jc w:val="both"/>
        <w:rPr>
          <w:rStyle w:val="15"/>
          <w:rFonts w:ascii="Times New Roman" w:hAnsi="Times New Roman" w:cs="Times New Roman"/>
          <w:i w:val="0"/>
          <w:iCs w:val="0"/>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w:t>
      </w:r>
      <w:r>
        <w:fldChar w:fldCharType="begin"/>
      </w:r>
      <w:r>
        <w:instrText xml:space="preserve"> HYPERLINK "http://www.imf.org/external/pubs/ft/weo/2009/01/index.htm" </w:instrText>
      </w:r>
      <w:r>
        <w:fldChar w:fldCharType="separate"/>
      </w:r>
      <w:r>
        <w:rPr>
          <w:rStyle w:val="13"/>
          <w:rFonts w:ascii="Times New Roman" w:hAnsi="Times New Roman" w:cs="Times New Roman"/>
          <w:iCs/>
          <w:color w:val="191919" w:themeColor="background1" w:themeShade="1A"/>
          <w:sz w:val="28"/>
          <w:szCs w:val="28"/>
          <w:u w:val="none"/>
          <w:lang w:val="en-US"/>
        </w:rPr>
        <w:t>"IMF World Economic Outlook, Crisis and Recovery, April 2009"</w:t>
      </w:r>
      <w:r>
        <w:rPr>
          <w:rStyle w:val="13"/>
          <w:rFonts w:ascii="Times New Roman" w:hAnsi="Times New Roman" w:cs="Times New Roman"/>
          <w:iCs/>
          <w:color w:val="191919" w:themeColor="background1" w:themeShade="1A"/>
          <w:sz w:val="28"/>
          <w:szCs w:val="28"/>
          <w:u w:val="none"/>
          <w:lang w:val="en-US"/>
        </w:rPr>
        <w:fldChar w:fldCharType="end"/>
      </w:r>
      <w:r>
        <w:rPr>
          <w:rStyle w:val="15"/>
          <w:rFonts w:ascii="Times New Roman" w:hAnsi="Times New Roman" w:cs="Times New Roman"/>
          <w:i w:val="0"/>
          <w:color w:val="191919" w:themeColor="background1" w:themeShade="1A"/>
          <w:sz w:val="28"/>
          <w:szCs w:val="28"/>
          <w:lang w:val="en-US"/>
        </w:rPr>
        <w:t>. Imf.org. 2009-04-16</w:t>
      </w:r>
      <w:r>
        <w:rPr>
          <w:rStyle w:val="26"/>
          <w:rFonts w:ascii="Times New Roman" w:hAnsi="Times New Roman" w:cs="Times New Roman"/>
          <w:iCs/>
          <w:color w:val="191919" w:themeColor="background1" w:themeShade="1A"/>
          <w:sz w:val="28"/>
          <w:szCs w:val="28"/>
          <w:lang w:val="en-US"/>
        </w:rPr>
        <w:t>. Retrieved </w:t>
      </w:r>
      <w:r>
        <w:rPr>
          <w:rStyle w:val="24"/>
          <w:rFonts w:ascii="Times New Roman" w:hAnsi="Times New Roman" w:cs="Times New Roman"/>
          <w:iCs/>
          <w:color w:val="191919" w:themeColor="background1" w:themeShade="1A"/>
          <w:sz w:val="28"/>
          <w:szCs w:val="28"/>
          <w:lang w:val="en-US"/>
        </w:rPr>
        <w:t>2012-07-17</w:t>
      </w:r>
      <w:r>
        <w:rPr>
          <w:rStyle w:val="15"/>
          <w:rFonts w:ascii="Times New Roman" w:hAnsi="Times New Roman" w:cs="Times New Roman"/>
          <w:i w:val="0"/>
          <w:color w:val="191919" w:themeColor="background1" w:themeShade="1A"/>
          <w:sz w:val="28"/>
          <w:szCs w:val="28"/>
          <w:lang w:val="en-US"/>
        </w:rPr>
        <w:t>.</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pStyle w:val="19"/>
        <w:rPr>
          <w:b/>
          <w:color w:val="191919" w:themeColor="background1" w:themeShade="1A"/>
          <w:lang w:val="en-US"/>
        </w:rPr>
      </w:pPr>
    </w:p>
    <w:p>
      <w:pPr>
        <w:pStyle w:val="19"/>
        <w:rPr>
          <w:b/>
          <w:bCs/>
          <w:color w:val="191919" w:themeColor="background1" w:themeShade="1A"/>
          <w:sz w:val="28"/>
          <w:szCs w:val="28"/>
          <w:lang w:val="en-US"/>
        </w:rPr>
      </w:pPr>
      <w:r>
        <w:rPr>
          <w:b/>
          <w:color w:val="191919" w:themeColor="background1" w:themeShade="1A"/>
          <w:sz w:val="28"/>
          <w:szCs w:val="28"/>
          <w:lang w:val="en-US"/>
        </w:rPr>
        <w:t xml:space="preserve">Subject 8.  </w:t>
      </w:r>
      <w:r>
        <w:rPr>
          <w:b/>
          <w:bCs/>
          <w:color w:val="191919" w:themeColor="background1" w:themeShade="1A"/>
          <w:sz w:val="28"/>
          <w:szCs w:val="28"/>
          <w:lang w:val="en-US"/>
        </w:rPr>
        <w:t xml:space="preserve">Global economy major problems 2 </w:t>
      </w:r>
    </w:p>
    <w:p>
      <w:pPr>
        <w:pStyle w:val="19"/>
        <w:rPr>
          <w:color w:val="191919" w:themeColor="background1" w:themeShade="1A"/>
          <w:sz w:val="28"/>
          <w:szCs w:val="28"/>
          <w:lang w:val="en-US"/>
        </w:rPr>
      </w:pPr>
      <w:r>
        <w:rPr>
          <w:color w:val="191919" w:themeColor="background1" w:themeShade="1A"/>
          <w:sz w:val="28"/>
          <w:szCs w:val="28"/>
          <w:lang w:val="en-US"/>
        </w:rPr>
        <w:t xml:space="preserve">Natural water as a global public good.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Global Food consumption security.   </w:t>
      </w:r>
    </w:p>
    <w:p>
      <w:pPr>
        <w:shd w:val="clear" w:color="auto" w:fill="FFFFFF"/>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Global infrastructure to assure the functioning of the global economy.</w:t>
      </w:r>
    </w:p>
    <w:p>
      <w:pPr>
        <w:shd w:val="clear" w:color="auto" w:fill="FFFFFF"/>
        <w:spacing w:after="0" w:line="240" w:lineRule="auto"/>
        <w:ind w:firstLine="567"/>
        <w:jc w:val="both"/>
        <w:rPr>
          <w:rFonts w:ascii="Times New Roman" w:hAnsi="Times New Roman" w:cs="Times New Roman"/>
          <w:color w:val="191919" w:themeColor="background1" w:themeShade="1A"/>
          <w:sz w:val="28"/>
          <w:szCs w:val="28"/>
          <w:lang w:val="en-US"/>
        </w:rPr>
      </w:pPr>
    </w:p>
    <w:p>
      <w:pPr>
        <w:pStyle w:val="3"/>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Global problems and shocks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global economy faces a number of serious challenges in the 21st Century. </w:t>
      </w:r>
      <w:r>
        <w:fldChar w:fldCharType="begin"/>
      </w:r>
      <w:r>
        <w:rPr>
          <w:lang w:val="en-US"/>
        </w:rPr>
        <w:instrText xml:space="preserve"> HYPERLINK "http://www.economicsonline.co.uk/Global_economics/Globalisation_Introduction.html" </w:instrText>
      </w:r>
      <w:r>
        <w:fldChar w:fldCharType="separate"/>
      </w:r>
      <w:r>
        <w:rPr>
          <w:rStyle w:val="13"/>
          <w:color w:val="191919" w:themeColor="background1" w:themeShade="1A"/>
          <w:sz w:val="28"/>
          <w:szCs w:val="28"/>
          <w:u w:val="none"/>
          <w:lang w:val="en-US"/>
        </w:rPr>
        <w:t>Globalisation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has benefitted most participants, but the increasing</w:t>
      </w:r>
      <w:r>
        <w:rPr>
          <w:rStyle w:val="12"/>
          <w:rFonts w:eastAsiaTheme="minorEastAsia"/>
          <w:i w:val="0"/>
          <w:color w:val="191919" w:themeColor="background1" w:themeShade="1A"/>
          <w:sz w:val="28"/>
          <w:szCs w:val="28"/>
          <w:lang w:val="en-US"/>
        </w:rPr>
        <w:t>interconnectedness</w:t>
      </w:r>
      <w:r>
        <w:rPr>
          <w:color w:val="191919" w:themeColor="background1" w:themeShade="1A"/>
          <w:sz w:val="28"/>
          <w:szCs w:val="28"/>
          <w:lang w:val="en-US"/>
        </w:rPr>
        <w:t> of the global economy has created a number of problems.</w:t>
      </w:r>
    </w:p>
    <w:p>
      <w:pPr>
        <w:pStyle w:val="10"/>
        <w:shd w:val="clear" w:color="auto" w:fill="FFFFFF"/>
        <w:spacing w:before="0" w:beforeAutospacing="0" w:after="0" w:afterAutospacing="0"/>
        <w:ind w:firstLine="567"/>
        <w:jc w:val="both"/>
        <w:rPr>
          <w:color w:val="191919" w:themeColor="background1" w:themeShade="1A"/>
          <w:sz w:val="28"/>
          <w:szCs w:val="28"/>
          <w:lang w:val="en-US"/>
        </w:rPr>
      </w:pPr>
    </w:p>
    <w:p>
      <w:pPr>
        <w:pStyle w:val="10"/>
        <w:shd w:val="clear" w:color="auto" w:fill="FFFFFF"/>
        <w:spacing w:before="0" w:beforeAutospacing="0" w:after="0" w:afterAutospacing="0"/>
        <w:ind w:firstLine="567"/>
        <w:jc w:val="both"/>
        <w:rPr>
          <w:color w:val="191919" w:themeColor="background1" w:themeShade="1A"/>
          <w:sz w:val="28"/>
          <w:szCs w:val="28"/>
          <w:lang w:val="en-US"/>
        </w:rPr>
      </w:pPr>
    </w:p>
    <w:p>
      <w:pPr>
        <w:pStyle w:val="4"/>
        <w:shd w:val="clear" w:color="auto" w:fill="FFFFFF"/>
        <w:ind w:firstLine="567"/>
        <w:jc w:val="both"/>
        <w:rPr>
          <w:rFonts w:ascii="Times New Roman" w:hAnsi="Times New Roman" w:cs="Times New Roman"/>
          <w:color w:val="191919" w:themeColor="background1" w:themeShade="1A"/>
          <w:spacing w:val="17"/>
          <w:sz w:val="28"/>
          <w:szCs w:val="28"/>
          <w:lang w:val="en-US"/>
        </w:rPr>
      </w:pPr>
      <w:r>
        <w:rPr>
          <w:rFonts w:ascii="Times New Roman" w:hAnsi="Times New Roman" w:cs="Times New Roman"/>
          <w:color w:val="191919" w:themeColor="background1" w:themeShade="1A"/>
          <w:spacing w:val="17"/>
          <w:sz w:val="28"/>
          <w:szCs w:val="28"/>
          <w:lang w:val="en-US"/>
        </w:rPr>
        <w:t>Short term problems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Some global problems are short term, such as the recent recession caused by the financial crash and related </w:t>
      </w:r>
      <w:r>
        <w:fldChar w:fldCharType="begin"/>
      </w:r>
      <w:r>
        <w:instrText xml:space="preserve"> HYPERLINK "http://www.economicsonline.co.uk/Global_economics/Financial_crisis.html" </w:instrText>
      </w:r>
      <w:r>
        <w:fldChar w:fldCharType="separate"/>
      </w:r>
      <w:r>
        <w:rPr>
          <w:rStyle w:val="13"/>
          <w:color w:val="191919" w:themeColor="background1" w:themeShade="1A"/>
          <w:sz w:val="28"/>
          <w:szCs w:val="28"/>
          <w:u w:val="none"/>
          <w:lang w:val="en-US"/>
        </w:rPr>
        <w:t>banking crisis</w:t>
      </w:r>
      <w:r>
        <w:rPr>
          <w:rStyle w:val="13"/>
          <w:color w:val="191919" w:themeColor="background1" w:themeShade="1A"/>
          <w:sz w:val="28"/>
          <w:szCs w:val="28"/>
          <w:u w:val="none"/>
          <w:lang w:val="en-US"/>
        </w:rPr>
        <w:fldChar w:fldCharType="end"/>
      </w:r>
      <w:r>
        <w:rPr>
          <w:color w:val="191919" w:themeColor="background1" w:themeShade="1A"/>
          <w:sz w:val="28"/>
          <w:szCs w:val="28"/>
          <w:lang w:val="en-US"/>
        </w:rPr>
        <w:t>. Most </w:t>
      </w:r>
      <w:r>
        <w:fldChar w:fldCharType="begin"/>
      </w:r>
      <w:r>
        <w:instrText xml:space="preserve"> HYPERLINK "http://www.economicsonline.co.uk/Global_economics/Global_shocks.html" </w:instrText>
      </w:r>
      <w:r>
        <w:fldChar w:fldCharType="separate"/>
      </w:r>
      <w:r>
        <w:rPr>
          <w:rStyle w:val="13"/>
          <w:color w:val="191919" w:themeColor="background1" w:themeShade="1A"/>
          <w:sz w:val="28"/>
          <w:szCs w:val="28"/>
          <w:u w:val="none"/>
          <w:lang w:val="en-US"/>
        </w:rPr>
        <w:t>global shocks</w:t>
      </w:r>
      <w:r>
        <w:rPr>
          <w:rStyle w:val="13"/>
          <w:color w:val="191919" w:themeColor="background1" w:themeShade="1A"/>
          <w:sz w:val="28"/>
          <w:szCs w:val="28"/>
          <w:u w:val="none"/>
          <w:lang w:val="en-US"/>
        </w:rPr>
        <w:fldChar w:fldCharType="end"/>
      </w:r>
      <w:r>
        <w:rPr>
          <w:color w:val="191919" w:themeColor="background1" w:themeShade="1A"/>
          <w:sz w:val="28"/>
          <w:szCs w:val="28"/>
          <w:lang w:val="en-US"/>
        </w:rPr>
        <w:t> are relatively short term and may be self-correcting.  Other apparently short run events can have long lasting effects, such as the oil shocks of the 1970s, which permanently altered the global market for oil.</w:t>
      </w:r>
    </w:p>
    <w:p>
      <w:pPr>
        <w:pStyle w:val="4"/>
        <w:shd w:val="clear" w:color="auto" w:fill="FFFFFF"/>
        <w:ind w:firstLine="567"/>
        <w:jc w:val="both"/>
        <w:rPr>
          <w:rFonts w:ascii="Times New Roman" w:hAnsi="Times New Roman" w:cs="Times New Roman"/>
          <w:color w:val="191919" w:themeColor="background1" w:themeShade="1A"/>
          <w:spacing w:val="17"/>
          <w:sz w:val="28"/>
          <w:szCs w:val="28"/>
          <w:lang w:val="en-US"/>
        </w:rPr>
      </w:pPr>
      <w:r>
        <w:rPr>
          <w:rFonts w:ascii="Times New Roman" w:hAnsi="Times New Roman" w:cs="Times New Roman"/>
          <w:color w:val="191919" w:themeColor="background1" w:themeShade="1A"/>
          <w:spacing w:val="17"/>
          <w:sz w:val="28"/>
          <w:szCs w:val="28"/>
          <w:lang w:val="en-US"/>
        </w:rPr>
        <w:t>Longer term problems </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Other global problems are longer term, and may require a strategic approach to finding solutions. These problems include global </w:t>
      </w:r>
      <w:r>
        <w:fldChar w:fldCharType="begin"/>
      </w:r>
      <w:r>
        <w:instrText xml:space="preserve"> HYPERLINK "http://www.economicsonline.co.uk/Global_economics/Inequality.html" </w:instrText>
      </w:r>
      <w:r>
        <w:fldChar w:fldCharType="separate"/>
      </w:r>
      <w:r>
        <w:rPr>
          <w:rStyle w:val="13"/>
          <w:color w:val="191919" w:themeColor="background1" w:themeShade="1A"/>
          <w:sz w:val="28"/>
          <w:szCs w:val="28"/>
          <w:u w:val="none"/>
          <w:lang w:val="en-US"/>
        </w:rPr>
        <w:t>inequality</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unequal economic </w:t>
      </w:r>
      <w:r>
        <w:fldChar w:fldCharType="begin"/>
      </w:r>
      <w:r>
        <w:instrText xml:space="preserve"> HYPERLINK "http://www.economicsonline.co.uk/Global_economics/Economic_development.html" </w:instrText>
      </w:r>
      <w:r>
        <w:fldChar w:fldCharType="separate"/>
      </w:r>
      <w:r>
        <w:rPr>
          <w:rStyle w:val="13"/>
          <w:color w:val="191919" w:themeColor="background1" w:themeShade="1A"/>
          <w:sz w:val="28"/>
          <w:szCs w:val="28"/>
          <w:u w:val="none"/>
          <w:lang w:val="en-US"/>
        </w:rPr>
        <w:t>development</w:t>
      </w:r>
      <w:r>
        <w:rPr>
          <w:rStyle w:val="13"/>
          <w:color w:val="191919" w:themeColor="background1" w:themeShade="1A"/>
          <w:sz w:val="28"/>
          <w:szCs w:val="28"/>
          <w:u w:val="none"/>
          <w:lang w:val="en-US"/>
        </w:rPr>
        <w:fldChar w:fldCharType="end"/>
      </w:r>
      <w:r>
        <w:rPr>
          <w:color w:val="191919" w:themeColor="background1" w:themeShade="1A"/>
          <w:sz w:val="28"/>
          <w:szCs w:val="28"/>
          <w:lang w:val="en-US"/>
        </w:rPr>
        <w:t>, global </w:t>
      </w:r>
      <w:r>
        <w:fldChar w:fldCharType="begin"/>
      </w:r>
      <w:r>
        <w:instrText xml:space="preserve"> HYPERLINK "http://www.economicsonline.co.uk/Global_economics/Inequality.html" </w:instrText>
      </w:r>
      <w:r>
        <w:fldChar w:fldCharType="separate"/>
      </w:r>
      <w:r>
        <w:rPr>
          <w:rStyle w:val="13"/>
          <w:color w:val="191919" w:themeColor="background1" w:themeShade="1A"/>
          <w:sz w:val="28"/>
          <w:szCs w:val="28"/>
          <w:u w:val="none"/>
          <w:lang w:val="en-US"/>
        </w:rPr>
        <w:t>poverty</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the exhaustion of non-renewable resources, </w:t>
      </w:r>
      <w:r>
        <w:fldChar w:fldCharType="begin"/>
      </w:r>
      <w:r>
        <w:instrText xml:space="preserve"> HYPERLINK "http://www.economicsonline.co.uk/Market_failures/Externalities.html" </w:instrText>
      </w:r>
      <w:r>
        <w:fldChar w:fldCharType="separate"/>
      </w:r>
      <w:r>
        <w:rPr>
          <w:rStyle w:val="13"/>
          <w:color w:val="191919" w:themeColor="background1" w:themeShade="1A"/>
          <w:sz w:val="28"/>
          <w:szCs w:val="28"/>
          <w:u w:val="none"/>
          <w:lang w:val="en-US"/>
        </w:rPr>
        <w:t>depletion of the environment</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global warming, and systemic problems associated with inadequate regulation of </w:t>
      </w:r>
      <w:r>
        <w:fldChar w:fldCharType="begin"/>
      </w:r>
      <w:r>
        <w:instrText xml:space="preserve"> HYPERLINK "http://www.economicsonline.co.uk/Global_economics/Financial_crisis.html" </w:instrText>
      </w:r>
      <w:r>
        <w:fldChar w:fldCharType="separate"/>
      </w:r>
      <w:r>
        <w:rPr>
          <w:rStyle w:val="13"/>
          <w:color w:val="191919" w:themeColor="background1" w:themeShade="1A"/>
          <w:sz w:val="28"/>
          <w:szCs w:val="28"/>
          <w:u w:val="none"/>
          <w:lang w:val="en-US"/>
        </w:rPr>
        <w:t>financial markets</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significant problem resulting from globalization is the increased risk to national economies from shocks over which they have little control. </w:t>
      </w:r>
      <w:r>
        <w:fldChar w:fldCharType="begin"/>
      </w:r>
      <w:r>
        <w:instrText xml:space="preserve"> HYPERLINK "http://www.economicsonline.co.uk/Global_economics/Globalisation_Introduction.html" </w:instrText>
      </w:r>
      <w:r>
        <w:fldChar w:fldCharType="separate"/>
      </w:r>
      <w:r>
        <w:rPr>
          <w:rStyle w:val="13"/>
          <w:color w:val="191919" w:themeColor="background1" w:themeShade="1A"/>
          <w:sz w:val="28"/>
          <w:szCs w:val="28"/>
          <w:u w:val="none"/>
          <w:lang w:val="en-US"/>
        </w:rPr>
        <w:t>Globalization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means that economies are increasingly interconnected, and interdependent, and while this generates long term gains in terms of trade, growth and jobs, it also presents economies with risks and challenges.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One risk is that a shock originating in one part of the world, or in one industry or market, can quickly ripple across a country, a region, or the whole global economy, leaving economic turmoil in its wake. By their nature, shocks are often unexpected, but policies can be adopted which help to reduce the impact of shocks.</w:t>
      </w:r>
    </w:p>
    <w:p>
      <w:pPr>
        <w:pStyle w:val="5"/>
        <w:shd w:val="clear" w:color="auto" w:fill="FFFFFF"/>
        <w:ind w:firstLine="567"/>
        <w:jc w:val="both"/>
        <w:rPr>
          <w:rFonts w:ascii="Times New Roman" w:hAnsi="Times New Roman" w:cs="Times New Roman"/>
          <w:color w:val="191919" w:themeColor="background1" w:themeShade="1A"/>
          <w:spacing w:val="17"/>
          <w:sz w:val="28"/>
          <w:szCs w:val="28"/>
        </w:rPr>
      </w:pPr>
      <w:r>
        <w:rPr>
          <w:rFonts w:ascii="Times New Roman" w:hAnsi="Times New Roman" w:cs="Times New Roman"/>
          <w:color w:val="191919" w:themeColor="background1" w:themeShade="1A"/>
          <w:spacing w:val="17"/>
          <w:sz w:val="28"/>
          <w:szCs w:val="28"/>
        </w:rPr>
        <w:t>Types of shock:</w:t>
      </w:r>
    </w:p>
    <w:p>
      <w:pPr>
        <w:pStyle w:val="10"/>
        <w:numPr>
          <w:ilvl w:val="0"/>
          <w:numId w:val="31"/>
        </w:numPr>
        <w:shd w:val="clear" w:color="auto" w:fill="FFFFFF"/>
        <w:tabs>
          <w:tab w:val="left" w:pos="426"/>
          <w:tab w:val="left" w:pos="993"/>
        </w:tabs>
        <w:spacing w:before="0" w:beforeAutospacing="0" w:after="0" w:afterAutospacing="0"/>
        <w:ind w:left="0" w:firstLine="567"/>
        <w:jc w:val="both"/>
        <w:rPr>
          <w:color w:val="191919" w:themeColor="background1" w:themeShade="1A"/>
          <w:sz w:val="28"/>
          <w:szCs w:val="28"/>
          <w:lang w:val="en-US"/>
        </w:rPr>
      </w:pPr>
      <w:r>
        <w:rPr>
          <w:color w:val="191919" w:themeColor="background1" w:themeShade="1A"/>
          <w:sz w:val="28"/>
          <w:szCs w:val="28"/>
          <w:lang w:val="en-US"/>
        </w:rPr>
        <w:t>Temporary shocks,  such as a terrorist attack, or a one-off change in a commodity price, like a rise in wheat prices, which quickly return to the 'normal', long run trend.</w:t>
      </w:r>
    </w:p>
    <w:p>
      <w:pPr>
        <w:pStyle w:val="10"/>
        <w:numPr>
          <w:ilvl w:val="0"/>
          <w:numId w:val="31"/>
        </w:numPr>
        <w:shd w:val="clear" w:color="auto" w:fill="FFFFFF"/>
        <w:tabs>
          <w:tab w:val="left" w:pos="426"/>
          <w:tab w:val="left" w:pos="993"/>
        </w:tabs>
        <w:spacing w:before="0" w:beforeAutospacing="0" w:after="0" w:afterAutospacing="0"/>
        <w:ind w:left="0" w:firstLine="567"/>
        <w:jc w:val="both"/>
        <w:rPr>
          <w:color w:val="191919" w:themeColor="background1" w:themeShade="1A"/>
          <w:sz w:val="28"/>
          <w:szCs w:val="28"/>
          <w:lang w:val="en-US"/>
        </w:rPr>
      </w:pPr>
      <w:r>
        <w:rPr>
          <w:color w:val="191919" w:themeColor="background1" w:themeShade="1A"/>
          <w:sz w:val="28"/>
          <w:szCs w:val="28"/>
          <w:lang w:val="en-US"/>
        </w:rPr>
        <w:t>Permanent shocks,  such as an </w:t>
      </w:r>
      <w:r>
        <w:fldChar w:fldCharType="begin"/>
      </w:r>
      <w:r>
        <w:instrText xml:space="preserve"> HYPERLINK "http://www.economicsonline.co.uk/Competitive_markets/The_market_for_oil.html" </w:instrText>
      </w:r>
      <w:r>
        <w:fldChar w:fldCharType="separate"/>
      </w:r>
      <w:r>
        <w:rPr>
          <w:rStyle w:val="13"/>
          <w:color w:val="191919" w:themeColor="background1" w:themeShade="1A"/>
          <w:sz w:val="28"/>
          <w:szCs w:val="28"/>
          <w:u w:val="none"/>
          <w:lang w:val="en-US"/>
        </w:rPr>
        <w:t>oil shock</w:t>
      </w:r>
      <w:r>
        <w:rPr>
          <w:rStyle w:val="13"/>
          <w:color w:val="191919" w:themeColor="background1" w:themeShade="1A"/>
          <w:sz w:val="28"/>
          <w:szCs w:val="28"/>
          <w:u w:val="none"/>
          <w:lang w:val="en-US"/>
        </w:rPr>
        <w:fldChar w:fldCharType="end"/>
      </w:r>
      <w:r>
        <w:rPr>
          <w:color w:val="191919" w:themeColor="background1" w:themeShade="1A"/>
          <w:sz w:val="28"/>
          <w:szCs w:val="28"/>
          <w:lang w:val="en-US"/>
        </w:rPr>
        <w:t>, which permanently alters the market for motor vehicles. Some economists argue that the financial crisis of 2008-09, and the resultant impact on the motor industry, will kick start a more carbon neutral approach to vehicle design.</w:t>
      </w:r>
    </w:p>
    <w:p>
      <w:pPr>
        <w:pStyle w:val="10"/>
        <w:numPr>
          <w:ilvl w:val="0"/>
          <w:numId w:val="31"/>
        </w:numPr>
        <w:shd w:val="clear" w:color="auto" w:fill="FFFFFF"/>
        <w:tabs>
          <w:tab w:val="left" w:pos="426"/>
          <w:tab w:val="left" w:pos="993"/>
        </w:tabs>
        <w:spacing w:before="0" w:beforeAutospacing="0" w:after="0" w:afterAutospacing="0"/>
        <w:ind w:left="0" w:firstLine="567"/>
        <w:jc w:val="both"/>
        <w:rPr>
          <w:color w:val="191919" w:themeColor="background1" w:themeShade="1A"/>
          <w:sz w:val="28"/>
          <w:szCs w:val="28"/>
          <w:lang w:val="en-US"/>
        </w:rPr>
      </w:pPr>
      <w:r>
        <w:rPr>
          <w:color w:val="191919" w:themeColor="background1" w:themeShade="1A"/>
          <w:sz w:val="28"/>
          <w:szCs w:val="28"/>
          <w:lang w:val="en-US"/>
        </w:rPr>
        <w:t>Policy induced shocks,  such as reducing </w:t>
      </w:r>
      <w:r>
        <w:fldChar w:fldCharType="begin"/>
      </w:r>
      <w:r>
        <w:instrText xml:space="preserve"> HYPERLINK "http://www.economicsonline.co.uk/Managing_the_economy/Monetary-policy.html" </w:instrText>
      </w:r>
      <w:r>
        <w:fldChar w:fldCharType="separate"/>
      </w:r>
      <w:r>
        <w:rPr>
          <w:rStyle w:val="13"/>
          <w:color w:val="191919" w:themeColor="background1" w:themeShade="1A"/>
          <w:sz w:val="28"/>
          <w:szCs w:val="28"/>
          <w:u w:val="none"/>
          <w:lang w:val="en-US"/>
        </w:rPr>
        <w:t>interest rates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or increasing the money supply too quickly, creating an inflationary shock.</w:t>
      </w:r>
    </w:p>
    <w:p>
      <w:pPr>
        <w:pStyle w:val="10"/>
        <w:numPr>
          <w:ilvl w:val="0"/>
          <w:numId w:val="31"/>
        </w:numPr>
        <w:shd w:val="clear" w:color="auto" w:fill="FFFFFF"/>
        <w:tabs>
          <w:tab w:val="left" w:pos="426"/>
          <w:tab w:val="left" w:pos="993"/>
        </w:tabs>
        <w:spacing w:before="0" w:beforeAutospacing="0" w:after="0" w:afterAutospacing="0"/>
        <w:ind w:left="0" w:firstLine="567"/>
        <w:jc w:val="both"/>
        <w:rPr>
          <w:color w:val="191919" w:themeColor="background1" w:themeShade="1A"/>
          <w:sz w:val="28"/>
          <w:szCs w:val="28"/>
          <w:lang w:val="en-US"/>
        </w:rPr>
      </w:pPr>
      <w:r>
        <w:rPr>
          <w:color w:val="191919" w:themeColor="background1" w:themeShade="1A"/>
          <w:sz w:val="28"/>
          <w:szCs w:val="28"/>
          <w:lang w:val="en-US"/>
        </w:rPr>
        <w:t>Asymmetric shocks, which are those affecting one region or one industry more severely than another. For example, the collapse of the Argentinean peso on the 1990s affected Spain more than the rest of Europe.</w:t>
      </w:r>
    </w:p>
    <w:p>
      <w:pPr>
        <w:pStyle w:val="10"/>
        <w:numPr>
          <w:ilvl w:val="0"/>
          <w:numId w:val="31"/>
        </w:numPr>
        <w:shd w:val="clear" w:color="auto" w:fill="FFFFFF"/>
        <w:tabs>
          <w:tab w:val="left" w:pos="426"/>
          <w:tab w:val="left" w:pos="993"/>
        </w:tabs>
        <w:spacing w:before="0" w:beforeAutospacing="0" w:after="0" w:afterAutospacing="0"/>
        <w:ind w:left="0" w:firstLine="567"/>
        <w:jc w:val="both"/>
        <w:rPr>
          <w:color w:val="191919" w:themeColor="background1" w:themeShade="1A"/>
          <w:sz w:val="28"/>
          <w:szCs w:val="28"/>
          <w:lang w:val="en-US"/>
        </w:rPr>
      </w:pPr>
      <w:r>
        <w:rPr>
          <w:color w:val="191919" w:themeColor="background1" w:themeShade="1A"/>
          <w:sz w:val="28"/>
          <w:szCs w:val="28"/>
          <w:lang w:val="en-US"/>
        </w:rPr>
        <w:t>Symmetric shocks, which are shocks which affect all regions or industries in the same way.</w:t>
      </w:r>
    </w:p>
    <w:p>
      <w:pPr>
        <w:pStyle w:val="10"/>
        <w:numPr>
          <w:ilvl w:val="0"/>
          <w:numId w:val="31"/>
        </w:numPr>
        <w:shd w:val="clear" w:color="auto" w:fill="FFFFFF"/>
        <w:tabs>
          <w:tab w:val="left" w:pos="426"/>
          <w:tab w:val="left" w:pos="993"/>
        </w:tabs>
        <w:spacing w:before="0" w:beforeAutospacing="0" w:after="0" w:afterAutospacing="0"/>
        <w:ind w:left="0" w:firstLine="567"/>
        <w:jc w:val="both"/>
        <w:rPr>
          <w:color w:val="191919" w:themeColor="background1" w:themeShade="1A"/>
          <w:sz w:val="28"/>
          <w:szCs w:val="28"/>
        </w:rPr>
      </w:pPr>
      <w:r>
        <w:rPr>
          <w:color w:val="191919" w:themeColor="background1" w:themeShade="1A"/>
          <w:sz w:val="28"/>
          <w:szCs w:val="28"/>
          <w:lang w:val="en-US"/>
        </w:rPr>
        <w:t>Financial shocks, which are those starting in the </w:t>
      </w:r>
      <w:r>
        <w:fldChar w:fldCharType="begin"/>
      </w:r>
      <w:r>
        <w:instrText xml:space="preserve"> HYPERLINK "http://www.economicsonline.co.uk/Competitive_markets/Financial_products.html" </w:instrText>
      </w:r>
      <w:r>
        <w:fldChar w:fldCharType="separate"/>
      </w:r>
      <w:r>
        <w:rPr>
          <w:rStyle w:val="13"/>
          <w:color w:val="191919" w:themeColor="background1" w:themeShade="1A"/>
          <w:sz w:val="28"/>
          <w:szCs w:val="28"/>
          <w:u w:val="none"/>
          <w:lang w:val="en-US"/>
        </w:rPr>
        <w:t>financial markets</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such as a sudden change in the exchange rate, or the collapse of a major credit bank. </w:t>
      </w:r>
      <w:r>
        <w:rPr>
          <w:color w:val="191919" w:themeColor="background1" w:themeShade="1A"/>
          <w:sz w:val="28"/>
          <w:szCs w:val="28"/>
        </w:rPr>
        <w:t>See also: </w:t>
      </w:r>
      <w:r>
        <w:fldChar w:fldCharType="begin"/>
      </w:r>
      <w:r>
        <w:instrText xml:space="preserve"> HYPERLINK "http://www.economicsonline.co.uk/Global_economics/Financial_crisis.html" </w:instrText>
      </w:r>
      <w:r>
        <w:fldChar w:fldCharType="separate"/>
      </w:r>
      <w:r>
        <w:rPr>
          <w:rStyle w:val="13"/>
          <w:color w:val="191919" w:themeColor="background1" w:themeShade="1A"/>
          <w:sz w:val="28"/>
          <w:szCs w:val="28"/>
          <w:u w:val="none"/>
        </w:rPr>
        <w:t>Banking crisis</w:t>
      </w:r>
      <w:r>
        <w:rPr>
          <w:rStyle w:val="13"/>
          <w:color w:val="191919" w:themeColor="background1" w:themeShade="1A"/>
          <w:sz w:val="28"/>
          <w:szCs w:val="28"/>
          <w:u w:val="none"/>
        </w:rPr>
        <w:fldChar w:fldCharType="end"/>
      </w:r>
      <w:r>
        <w:rPr>
          <w:color w:val="191919" w:themeColor="background1" w:themeShade="1A"/>
          <w:sz w:val="28"/>
          <w:szCs w:val="28"/>
        </w:rPr>
        <w:t>.</w:t>
      </w:r>
    </w:p>
    <w:p>
      <w:pPr>
        <w:pStyle w:val="10"/>
        <w:numPr>
          <w:ilvl w:val="0"/>
          <w:numId w:val="31"/>
        </w:numPr>
        <w:shd w:val="clear" w:color="auto" w:fill="FFFFFF"/>
        <w:tabs>
          <w:tab w:val="left" w:pos="426"/>
          <w:tab w:val="left" w:pos="993"/>
        </w:tabs>
        <w:spacing w:before="0" w:beforeAutospacing="0" w:after="0" w:afterAutospacing="0"/>
        <w:ind w:left="0" w:firstLine="567"/>
        <w:jc w:val="both"/>
        <w:rPr>
          <w:color w:val="191919" w:themeColor="background1" w:themeShade="1A"/>
          <w:sz w:val="28"/>
          <w:szCs w:val="28"/>
          <w:lang w:val="en-US"/>
        </w:rPr>
      </w:pPr>
      <w:r>
        <w:rPr>
          <w:color w:val="191919" w:themeColor="background1" w:themeShade="1A"/>
          <w:sz w:val="28"/>
          <w:szCs w:val="28"/>
          <w:lang w:val="en-US"/>
        </w:rPr>
        <w:t>Supply side shocks, which may be related to costs, such as a sudden increase in </w:t>
      </w:r>
      <w:r>
        <w:fldChar w:fldCharType="begin"/>
      </w:r>
      <w:r>
        <w:instrText xml:space="preserve"> HYPERLINK "http://www.economicsonline.co.uk/Competitive_markets/Primary_markets.html" </w:instrText>
      </w:r>
      <w:r>
        <w:fldChar w:fldCharType="separate"/>
      </w:r>
      <w:r>
        <w:rPr>
          <w:rStyle w:val="13"/>
          <w:color w:val="191919" w:themeColor="background1" w:themeShade="1A"/>
          <w:sz w:val="28"/>
          <w:szCs w:val="28"/>
          <w:u w:val="none"/>
          <w:lang w:val="en-US"/>
        </w:rPr>
        <w:t>commodity prices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or related to changes in physical supply, such as labour strikes, or crop failures.</w:t>
      </w:r>
    </w:p>
    <w:p>
      <w:pPr>
        <w:pStyle w:val="10"/>
        <w:numPr>
          <w:ilvl w:val="0"/>
          <w:numId w:val="31"/>
        </w:numPr>
        <w:shd w:val="clear" w:color="auto" w:fill="FFFFFF"/>
        <w:tabs>
          <w:tab w:val="left" w:pos="426"/>
          <w:tab w:val="left" w:pos="993"/>
        </w:tabs>
        <w:spacing w:before="0" w:beforeAutospacing="0" w:after="0" w:afterAutospacing="0"/>
        <w:ind w:left="0" w:firstLine="567"/>
        <w:jc w:val="both"/>
        <w:rPr>
          <w:color w:val="191919" w:themeColor="background1" w:themeShade="1A"/>
          <w:sz w:val="28"/>
          <w:szCs w:val="28"/>
          <w:lang w:val="en-US"/>
        </w:rPr>
      </w:pPr>
      <w:r>
        <w:rPr>
          <w:color w:val="191919" w:themeColor="background1" w:themeShade="1A"/>
          <w:sz w:val="28"/>
          <w:szCs w:val="28"/>
          <w:lang w:val="en-US"/>
        </w:rPr>
        <w:t>Demand side shocks, which are sudden changes affecting aggregate demand (AD), such as a collapse in consumer confidence leading to a fall in </w:t>
      </w:r>
      <w:r>
        <w:fldChar w:fldCharType="begin"/>
      </w:r>
      <w:r>
        <w:instrText xml:space="preserve"> HYPERLINK "http://www.economicsonline.co.uk/Managing_the_economy/Household_spending.html" </w:instrText>
      </w:r>
      <w:r>
        <w:fldChar w:fldCharType="separate"/>
      </w:r>
      <w:r>
        <w:rPr>
          <w:rStyle w:val="13"/>
          <w:color w:val="191919" w:themeColor="background1" w:themeShade="1A"/>
          <w:sz w:val="28"/>
          <w:szCs w:val="28"/>
          <w:u w:val="none"/>
          <w:lang w:val="en-US"/>
        </w:rPr>
        <w:t>household spending</w:t>
      </w:r>
      <w:r>
        <w:rPr>
          <w:rStyle w:val="13"/>
          <w:color w:val="191919" w:themeColor="background1" w:themeShade="1A"/>
          <w:sz w:val="28"/>
          <w:szCs w:val="28"/>
          <w:u w:val="none"/>
          <w:lang w:val="en-US"/>
        </w:rPr>
        <w:fldChar w:fldCharType="end"/>
      </w:r>
      <w:r>
        <w:rPr>
          <w:color w:val="191919" w:themeColor="background1" w:themeShade="1A"/>
          <w:sz w:val="28"/>
          <w:szCs w:val="28"/>
          <w:lang w:val="en-US"/>
        </w:rPr>
        <w:t>, or a sudden fall in </w:t>
      </w:r>
      <w:r>
        <w:fldChar w:fldCharType="begin"/>
      </w:r>
      <w:r>
        <w:instrText xml:space="preserve"> HYPERLINK "http://www.economicsonline.co.uk/Competitive_markets/The_housing_market.html" </w:instrText>
      </w:r>
      <w:r>
        <w:fldChar w:fldCharType="separate"/>
      </w:r>
      <w:r>
        <w:rPr>
          <w:rStyle w:val="13"/>
          <w:color w:val="191919" w:themeColor="background1" w:themeShade="1A"/>
          <w:sz w:val="28"/>
          <w:szCs w:val="28"/>
          <w:u w:val="none"/>
          <w:lang w:val="en-US"/>
        </w:rPr>
        <w:t>house prices</w:t>
      </w:r>
      <w:r>
        <w:rPr>
          <w:rStyle w:val="13"/>
          <w:color w:val="191919" w:themeColor="background1" w:themeShade="1A"/>
          <w:sz w:val="28"/>
          <w:szCs w:val="28"/>
          <w:u w:val="none"/>
          <w:lang w:val="en-US"/>
        </w:rPr>
        <w:fldChar w:fldCharType="end"/>
      </w:r>
      <w:r>
        <w:rPr>
          <w:color w:val="191919" w:themeColor="background1" w:themeShade="1A"/>
          <w:sz w:val="28"/>
          <w:szCs w:val="28"/>
          <w:lang w:val="en-US"/>
        </w:rPr>
        <w:t> creating a negative </w:t>
      </w:r>
      <w:r>
        <w:fldChar w:fldCharType="begin"/>
      </w:r>
      <w:r>
        <w:instrText xml:space="preserve"> HYPERLINK "http://www.economicsonline.co.uk/Managing_the_economy/Liquidity_and_wealth.html" </w:instrText>
      </w:r>
      <w:r>
        <w:fldChar w:fldCharType="separate"/>
      </w:r>
      <w:r>
        <w:rPr>
          <w:rStyle w:val="13"/>
          <w:color w:val="191919" w:themeColor="background1" w:themeShade="1A"/>
          <w:sz w:val="28"/>
          <w:szCs w:val="28"/>
          <w:u w:val="none"/>
          <w:lang w:val="en-US"/>
        </w:rPr>
        <w:t>wealth effect</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many cases, specific shocks can exhibit a number of these features.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Much of the impact of </w:t>
      </w:r>
      <w:r>
        <w:fldChar w:fldCharType="begin"/>
      </w:r>
      <w:r>
        <w:rPr>
          <w:lang w:val="en-US"/>
        </w:rPr>
        <w:instrText xml:space="preserve"> HYPERLINK "http://www.economicsonline.co.uk/Global_economics/Brexit_update.html" </w:instrText>
      </w:r>
      <w:r>
        <w:fldChar w:fldCharType="separate"/>
      </w:r>
      <w:r>
        <w:rPr>
          <w:rStyle w:val="13"/>
          <w:color w:val="191919" w:themeColor="background1" w:themeShade="1A"/>
          <w:sz w:val="28"/>
          <w:szCs w:val="28"/>
          <w:u w:val="none"/>
          <w:lang w:val="en-US"/>
        </w:rPr>
        <w:t>Brexit</w:t>
      </w:r>
      <w:r>
        <w:rPr>
          <w:rStyle w:val="13"/>
          <w:color w:val="191919" w:themeColor="background1" w:themeShade="1A"/>
          <w:sz w:val="28"/>
          <w:szCs w:val="28"/>
          <w:u w:val="none"/>
          <w:lang w:val="en-US"/>
        </w:rPr>
        <w:fldChar w:fldCharType="end"/>
      </w:r>
      <w:r>
        <w:rPr>
          <w:color w:val="191919" w:themeColor="background1" w:themeShade="1A"/>
          <w:sz w:val="28"/>
          <w:szCs w:val="28"/>
          <w:lang w:val="en-US"/>
        </w:rPr>
        <w:t> is likely to be relatively short-lived, and will include both positive and negative effects. The net balance between these effects will remain unknown, at least until negotiations begin and the final post-Brexit relationship between the UK and the EU is formalised. Even then, the longer-term impact will be uncertain, as this will depend upon the type of trade deals that can be struck by the UK and the rest of the World in the future.</w:t>
      </w:r>
    </w:p>
    <w:p>
      <w:pPr>
        <w:shd w:val="clear" w:color="auto" w:fill="FFFFFF"/>
        <w:spacing w:after="0" w:line="240" w:lineRule="auto"/>
        <w:ind w:firstLine="567"/>
        <w:jc w:val="both"/>
        <w:outlineLvl w:val="2"/>
        <w:rPr>
          <w:rFonts w:ascii="Times New Roman" w:hAnsi="Times New Roman" w:eastAsia="Times New Roman" w:cs="Times New Roman"/>
          <w:bCs/>
          <w:color w:val="191919" w:themeColor="background1" w:themeShade="1A"/>
          <w:spacing w:val="17"/>
          <w:sz w:val="28"/>
          <w:szCs w:val="28"/>
          <w:lang w:val="en-US" w:eastAsia="ru-RU"/>
        </w:rPr>
      </w:pPr>
      <w:r>
        <w:rPr>
          <w:rFonts w:ascii="Times New Roman" w:hAnsi="Times New Roman" w:eastAsia="Times New Roman" w:cs="Times New Roman"/>
          <w:bCs/>
          <w:color w:val="191919" w:themeColor="background1" w:themeShade="1A"/>
          <w:spacing w:val="17"/>
          <w:sz w:val="28"/>
          <w:szCs w:val="28"/>
          <w:lang w:val="en-US" w:eastAsia="ru-RU"/>
        </w:rPr>
        <w:t>Longer term problems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Other global problems are longer term, and may require a strategic approach to finding solutions. These problems include global </w:t>
      </w:r>
      <w:r>
        <w:fldChar w:fldCharType="begin"/>
      </w:r>
      <w:r>
        <w:instrText xml:space="preserve"> HYPERLINK "http://www.economicsonline.co.uk/Global_economics/Inequality.html" </w:instrText>
      </w:r>
      <w:r>
        <w:fldChar w:fldCharType="separate"/>
      </w:r>
      <w:r>
        <w:rPr>
          <w:rFonts w:ascii="Times New Roman" w:hAnsi="Times New Roman" w:eastAsia="Times New Roman" w:cs="Times New Roman"/>
          <w:color w:val="191919" w:themeColor="background1" w:themeShade="1A"/>
          <w:sz w:val="28"/>
          <w:szCs w:val="28"/>
          <w:lang w:val="en-US" w:eastAsia="ru-RU"/>
        </w:rPr>
        <w:t>inequality</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and unequal economic </w:t>
      </w:r>
      <w:r>
        <w:fldChar w:fldCharType="begin"/>
      </w:r>
      <w:r>
        <w:instrText xml:space="preserve"> HYPERLINK "http://www.economicsonline.co.uk/Global_economics/Economic_development.html" </w:instrText>
      </w:r>
      <w:r>
        <w:fldChar w:fldCharType="separate"/>
      </w:r>
      <w:r>
        <w:rPr>
          <w:rFonts w:ascii="Times New Roman" w:hAnsi="Times New Roman" w:eastAsia="Times New Roman" w:cs="Times New Roman"/>
          <w:color w:val="191919" w:themeColor="background1" w:themeShade="1A"/>
          <w:sz w:val="28"/>
          <w:szCs w:val="28"/>
          <w:lang w:val="en-US" w:eastAsia="ru-RU"/>
        </w:rPr>
        <w:t>development</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global </w:t>
      </w:r>
      <w:r>
        <w:fldChar w:fldCharType="begin"/>
      </w:r>
      <w:r>
        <w:instrText xml:space="preserve"> HYPERLINK "http://www.economicsonline.co.uk/Global_economics/Inequality.html" </w:instrText>
      </w:r>
      <w:r>
        <w:fldChar w:fldCharType="separate"/>
      </w:r>
      <w:r>
        <w:rPr>
          <w:rFonts w:ascii="Times New Roman" w:hAnsi="Times New Roman" w:eastAsia="Times New Roman" w:cs="Times New Roman"/>
          <w:color w:val="191919" w:themeColor="background1" w:themeShade="1A"/>
          <w:sz w:val="28"/>
          <w:szCs w:val="28"/>
          <w:lang w:val="en-US" w:eastAsia="ru-RU"/>
        </w:rPr>
        <w:t>poverty</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the exhaustion of non-renewable resources, </w:t>
      </w:r>
      <w:r>
        <w:fldChar w:fldCharType="begin"/>
      </w:r>
      <w:r>
        <w:instrText xml:space="preserve"> HYPERLINK "http://www.economicsonline.co.uk/Market_failures/Externalities.html" </w:instrText>
      </w:r>
      <w:r>
        <w:fldChar w:fldCharType="separate"/>
      </w:r>
      <w:r>
        <w:rPr>
          <w:rFonts w:ascii="Times New Roman" w:hAnsi="Times New Roman" w:eastAsia="Times New Roman" w:cs="Times New Roman"/>
          <w:color w:val="191919" w:themeColor="background1" w:themeShade="1A"/>
          <w:sz w:val="28"/>
          <w:szCs w:val="28"/>
          <w:lang w:val="en-US" w:eastAsia="ru-RU"/>
        </w:rPr>
        <w:t>depletion of the environment</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and global warming, and systemic problems associated with inadequate regulation of </w:t>
      </w:r>
      <w:r>
        <w:fldChar w:fldCharType="begin"/>
      </w:r>
      <w:r>
        <w:instrText xml:space="preserve"> HYPERLINK "http://www.economicsonline.co.uk/Global_economics/Financial_crisis.html" </w:instrText>
      </w:r>
      <w:r>
        <w:fldChar w:fldCharType="separate"/>
      </w:r>
      <w:r>
        <w:rPr>
          <w:rFonts w:ascii="Times New Roman" w:hAnsi="Times New Roman" w:eastAsia="Times New Roman" w:cs="Times New Roman"/>
          <w:color w:val="191919" w:themeColor="background1" w:themeShade="1A"/>
          <w:sz w:val="28"/>
          <w:szCs w:val="28"/>
          <w:lang w:val="en-US" w:eastAsia="ru-RU"/>
        </w:rPr>
        <w:t>financial markets</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w:t>
      </w:r>
    </w:p>
    <w:p>
      <w:pPr>
        <w:pStyle w:val="3"/>
        <w:shd w:val="clear" w:color="auto" w:fill="FFFFFF"/>
        <w:spacing w:before="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2. WTO rules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the event of a no-deal Brexit, the UK would fall back on the World Trade Organisation (WTO) rules. There are two main WTO agreements -  the General Agreement on Tariffs and Trade (GATT) and the General Agreement on Trade in Services (GATS). There are common rules that govern trade in goods and services, the most significant of which is the </w:t>
      </w:r>
      <w:r>
        <w:fldChar w:fldCharType="begin"/>
      </w:r>
      <w:r>
        <w:instrText xml:space="preserve"> HYPERLINK "https://www.wto.org/english/thewto_e/whatis_e/tif_e/fact2_e.htm" </w:instrText>
      </w:r>
      <w:r>
        <w:fldChar w:fldCharType="separate"/>
      </w:r>
      <w:r>
        <w:rPr>
          <w:rStyle w:val="13"/>
          <w:iCs/>
          <w:color w:val="191919" w:themeColor="background1" w:themeShade="1A"/>
          <w:sz w:val="28"/>
          <w:szCs w:val="28"/>
          <w:u w:val="none"/>
          <w:lang w:val="en-US"/>
        </w:rPr>
        <w:t>Most Favoured Nation</w:t>
      </w:r>
      <w:r>
        <w:rPr>
          <w:rStyle w:val="13"/>
          <w:iCs/>
          <w:color w:val="191919" w:themeColor="background1" w:themeShade="1A"/>
          <w:sz w:val="28"/>
          <w:szCs w:val="28"/>
          <w:u w:val="none"/>
          <w:lang w:val="en-US"/>
        </w:rPr>
        <w:fldChar w:fldCharType="end"/>
      </w:r>
      <w:r>
        <w:rPr>
          <w:color w:val="191919" w:themeColor="background1" w:themeShade="1A"/>
          <w:sz w:val="28"/>
          <w:szCs w:val="28"/>
          <w:lang w:val="en-US"/>
        </w:rPr>
        <w:t> (MFN) rule. The MFN rule is the core principle of the WTO, and first appeared in the GATT agreement of 1947  which came into force on 1st January, 1948. The UK is free to fall back on the WTO given that it still remains an individual member – as do all EU countries. When countries joined the EU they retained their individual membership rights.</w:t>
      </w:r>
    </w:p>
    <w:p>
      <w:pPr>
        <w:pStyle w:val="4"/>
        <w:shd w:val="clear" w:color="auto" w:fill="FFFFFF"/>
        <w:ind w:firstLine="567"/>
        <w:jc w:val="both"/>
        <w:rPr>
          <w:rFonts w:ascii="Times New Roman" w:hAnsi="Times New Roman" w:cs="Times New Roman"/>
          <w:color w:val="191919" w:themeColor="background1" w:themeShade="1A"/>
          <w:spacing w:val="17"/>
          <w:sz w:val="28"/>
          <w:szCs w:val="28"/>
          <w:lang w:val="en-US"/>
        </w:rPr>
      </w:pPr>
      <w:r>
        <w:rPr>
          <w:rFonts w:ascii="Times New Roman" w:hAnsi="Times New Roman" w:cs="Times New Roman"/>
          <w:color w:val="191919" w:themeColor="background1" w:themeShade="1A"/>
          <w:spacing w:val="17"/>
          <w:sz w:val="28"/>
          <w:szCs w:val="28"/>
          <w:lang w:val="en-US"/>
        </w:rPr>
        <w:t>What is the MFN rule?</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main principle of the MFN rule is that members must not be discriminated against, except to protect themselves from unfair competition, or to maintain food and other standards. It is also accepted that preferential treatment can be given to developing countries. With these exceptions noted, the general rule is that, in the absence of a specific free trade agreement (which allow tariffs to be set below the MFN rate), all WTO members will enjoy the same treatment as the most favoured country. Hence, if one member grants another member a special favour, such as a lower tariff, then this favour should be extended to all other members. This means that trade liberalisation is promoted, given that the benefit of any agreement between two countries to bring down barriers is likely to have wider free trade effects on other trading partners. The MFN approach is widely regarded as contributing to the growth and prosperity of the global economy as it makes it far more likely that countries will import from the most efficient supplier, in accordance with the principle of</w:t>
      </w:r>
      <w:r>
        <w:fldChar w:fldCharType="begin"/>
      </w:r>
      <w:r>
        <w:instrText xml:space="preserve"> HYPERLINK "http://www.economicsonline.co.uk/Global_economics/Comparative_advantage.html" </w:instrText>
      </w:r>
      <w:r>
        <w:fldChar w:fldCharType="separate"/>
      </w:r>
      <w:r>
        <w:rPr>
          <w:rStyle w:val="13"/>
          <w:color w:val="191919" w:themeColor="background1" w:themeShade="1A"/>
          <w:sz w:val="28"/>
          <w:szCs w:val="28"/>
          <w:u w:val="none"/>
          <w:lang w:val="en-US"/>
        </w:rPr>
        <w:t> comparative advantage</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4"/>
        <w:shd w:val="clear" w:color="auto" w:fill="FFFFFF"/>
        <w:ind w:firstLine="567"/>
        <w:jc w:val="both"/>
        <w:rPr>
          <w:rFonts w:ascii="Times New Roman" w:hAnsi="Times New Roman" w:cs="Times New Roman"/>
          <w:color w:val="191919" w:themeColor="background1" w:themeShade="1A"/>
          <w:spacing w:val="17"/>
          <w:sz w:val="28"/>
          <w:szCs w:val="28"/>
          <w:lang w:val="en-US"/>
        </w:rPr>
      </w:pPr>
      <w:r>
        <w:rPr>
          <w:rFonts w:ascii="Times New Roman" w:hAnsi="Times New Roman" w:cs="Times New Roman"/>
          <w:color w:val="191919" w:themeColor="background1" w:themeShade="1A"/>
          <w:spacing w:val="17"/>
          <w:sz w:val="28"/>
          <w:szCs w:val="28"/>
          <w:lang w:val="en-US"/>
        </w:rPr>
        <w:t>How the MFN rule affects Brexit</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Once outside the EU, the UK would be treated as a 'third-party country' and would, of course, be free to reduce tariffs on imports – say on New Zealand lamb – however, the WTO rules state that the UK would also have to reduce tariffs on lamb from other WTO members to the same level enjoyed by New Zealand.</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For example, the current EU ad valorem tariff rate on New Zealand meat imports is</w:t>
      </w:r>
      <w:r>
        <w:fldChar w:fldCharType="begin"/>
      </w:r>
      <w:r>
        <w:instrText xml:space="preserve"> HYPERLINK "http://britishmeatindustry.org/industry/imports-exports/sheepmeat/" </w:instrText>
      </w:r>
      <w:r>
        <w:fldChar w:fldCharType="separate"/>
      </w:r>
      <w:r>
        <w:rPr>
          <w:rStyle w:val="13"/>
          <w:color w:val="191919" w:themeColor="background1" w:themeShade="1A"/>
          <w:sz w:val="28"/>
          <w:szCs w:val="28"/>
          <w:u w:val="none"/>
          <w:lang w:val="en-US"/>
        </w:rPr>
        <w:t>12.8%</w:t>
      </w:r>
      <w:r>
        <w:rPr>
          <w:rStyle w:val="13"/>
          <w:color w:val="191919" w:themeColor="background1" w:themeShade="1A"/>
          <w:sz w:val="28"/>
          <w:szCs w:val="28"/>
          <w:u w:val="none"/>
          <w:lang w:val="en-US"/>
        </w:rPr>
        <w:fldChar w:fldCharType="end"/>
      </w:r>
      <w:r>
        <w:rPr>
          <w:color w:val="191919" w:themeColor="background1" w:themeShade="1A"/>
          <w:sz w:val="28"/>
          <w:szCs w:val="28"/>
          <w:lang w:val="en-US"/>
        </w:rPr>
        <w:t>. There is also a quota arrangement which allows the EU to import a given quantity of New Zealand lamb on a tariff free basis – once the quota is reached, the tariff comes into effect. Such quota plus tariff arrangements are called </w:t>
      </w:r>
      <w:r>
        <w:rPr>
          <w:rStyle w:val="12"/>
          <w:rFonts w:eastAsiaTheme="minorEastAsia"/>
          <w:i w:val="0"/>
          <w:color w:val="191919" w:themeColor="background1" w:themeShade="1A"/>
          <w:sz w:val="28"/>
          <w:szCs w:val="28"/>
          <w:lang w:val="en-US"/>
        </w:rPr>
        <w:t>Tariff Rate Quotas</w:t>
      </w:r>
      <w:r>
        <w:rPr>
          <w:color w:val="191919" w:themeColor="background1" w:themeShade="1A"/>
          <w:sz w:val="28"/>
          <w:szCs w:val="28"/>
          <w:lang w:val="en-US"/>
        </w:rPr>
        <w:t> (TRQs), and are common on agricultural products. If the UK wishes to reduce tariffs on New Zealand lamb – say to 10% - (or alter the quota) it will have to reduce it to 10% for all countries looking to sell lamb into the UK. Similarly,  New Zealand cannot place different tariffs on UK exports and EU exports. The only way around this, under WTO rules, is to come up with a special agreement between the two countries. For example, New Zealand could agree to reduce duties on UK produced cars, while the UK agrees to reduce tariffs on New Zealand produced lamb. To make full sense of trade between the UK and New Zealand the more goods that are covered, the better, leading to a ‘comprehensive free trade agreement’.</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Once the UK leaves the EU it will need to establish its own MFN schedules and have them approved by all other WTO Members, but it is most likely that these will remain at the current EU levels. Under WTO rules the UK will be allowed to continue to operate these ‘uncertified’ schedules until formally certified.</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UK will also need to negotiate a large number of free trade agreements to prevent the general operation of the MFN rule.  Of course, there is nothing stopping the EU also renegotiating any existing free trade arrangements once the UK leaves. In fact, preparation for formal trade talks between New Zealand and the EU has already been sanctioned by the EU in May 2018. So, this may well mean that any preferential arrangement between the UK and New Zealand, which favours UK exporters, could be wiped away before it even comes into effect. This is because there is no rule saying that the EU cannot negotiate more trade deals while Brexit talks continue, while the UK cannot.</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situation is made even more complex in that most 'modern' trade deals have a “forward” MFN arrangement – meaning that the parties to the agreement have guananteed that they have granted each other the best possible terms. This means that if a new trade agreement with a third party is constructed on better terms than existing deals, the previous deals will be ‘upgraded’ to the new level – the new benefit will be applied without any ability to negotiate a beneficial trade-off.</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For example, in the case of Canada (having recently signed its Comprehensive Economic and Trade Agreement (CETA) with the EU) there is an MFN rule in place for investment (Chapter 8 on investment) – this means that the EU cannot offer the UK a better deal than with Canada, or it must offer Canada the same deal if that happens. This is one reason why the EU may not want to offer generous open access to the UK - especially in terms of financial services. The MFN rule certainly acts as a constraint on what the EU is willing to offer.</w:t>
      </w:r>
    </w:p>
    <w:p>
      <w:pPr>
        <w:pStyle w:val="4"/>
        <w:shd w:val="clear" w:color="auto" w:fill="FFFFFF"/>
        <w:ind w:firstLine="567"/>
        <w:jc w:val="both"/>
        <w:rPr>
          <w:rFonts w:ascii="Times New Roman" w:hAnsi="Times New Roman" w:cs="Times New Roman"/>
          <w:color w:val="191919" w:themeColor="background1" w:themeShade="1A"/>
          <w:spacing w:val="17"/>
          <w:sz w:val="28"/>
          <w:szCs w:val="28"/>
          <w:lang w:val="en-US"/>
        </w:rPr>
      </w:pPr>
      <w:r>
        <w:rPr>
          <w:rFonts w:ascii="Times New Roman" w:hAnsi="Times New Roman" w:cs="Times New Roman"/>
          <w:color w:val="191919" w:themeColor="background1" w:themeShade="1A"/>
          <w:spacing w:val="17"/>
          <w:sz w:val="28"/>
          <w:szCs w:val="28"/>
          <w:lang w:val="en-US"/>
        </w:rPr>
        <w:t>New trade agreements – some issues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Once the transition phase is over it is likely that the UK will maintain existing tariff schedules and ‘roll over’ many of the agreements that already exist between the EU and third parties, and incorporate them into the UK legal context. Part of the negotiation process with the EU will involve agreeing the re-allocation of agricultural quotas to imports as these are EU-wide negotiated levels. Given that market access to third-parties (including the level of tariffs and any quotas) will have been agreed by the EU as a bloc, reflecting the EU’s bargaining power, it is likely that third-parties will see Brexit as an opportunity to renegotiate more favourable trade deals with the UK.</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an attempt to speed up this process, the </w:t>
      </w:r>
      <w:r>
        <w:fldChar w:fldCharType="begin"/>
      </w:r>
      <w:r>
        <w:instrText xml:space="preserve"> HYPERLINK "https://www.gov.uk/government/organisations/department-for-international-trade" </w:instrText>
      </w:r>
      <w:r>
        <w:fldChar w:fldCharType="separate"/>
      </w:r>
      <w:r>
        <w:rPr>
          <w:rStyle w:val="13"/>
          <w:color w:val="191919" w:themeColor="background1" w:themeShade="1A"/>
          <w:sz w:val="28"/>
          <w:szCs w:val="28"/>
          <w:u w:val="none"/>
          <w:lang w:val="en-US"/>
        </w:rPr>
        <w:t>Department for International Trade</w:t>
      </w:r>
      <w:r>
        <w:rPr>
          <w:rStyle w:val="13"/>
          <w:color w:val="191919" w:themeColor="background1" w:themeShade="1A"/>
          <w:sz w:val="28"/>
          <w:szCs w:val="28"/>
          <w:u w:val="none"/>
          <w:lang w:val="en-US"/>
        </w:rPr>
        <w:fldChar w:fldCharType="end"/>
      </w:r>
      <w:r>
        <w:rPr>
          <w:color w:val="191919" w:themeColor="background1" w:themeShade="1A"/>
          <w:sz w:val="28"/>
          <w:szCs w:val="28"/>
          <w:lang w:val="en-US"/>
        </w:rPr>
        <w:t> (DIT) has already made contact with around 70 third-party countries to EU trade agreements. Most experts accept that simply ‘cutting and pasting’ existing agreements will not be possible, given the likelihood that these countries will look to renegotiate. There is clearly a limit to which new trade agreements can be made until the UK and EU complete their own negotiations. What is clear is that the MFN rule will have a considerable impact, not only in terms of negotiating the UK's withdrawal, but in terms of shaping the UK's future trade deals.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For all of these reasons the most likely outcome is that a modestly tweaked CETA-style agreement is the most likely outcome, and while this is something 'ruled out' by the UK government from the outset, it is one that both sides might be able to sell domestically. None of the EU 27 countries show any indication of dissention, and, despite some Brexiteer protests, such a Canada-style deal is likely to pass through UK Parliament.</w:t>
      </w:r>
    </w:p>
    <w:p>
      <w:pPr>
        <w:pStyle w:val="5"/>
        <w:shd w:val="clear" w:color="auto" w:fill="FFFFFF"/>
        <w:ind w:firstLine="567"/>
        <w:jc w:val="both"/>
        <w:rPr>
          <w:rFonts w:ascii="Times New Roman" w:hAnsi="Times New Roman" w:cs="Times New Roman"/>
          <w:color w:val="191919" w:themeColor="background1" w:themeShade="1A"/>
          <w:spacing w:val="17"/>
          <w:sz w:val="28"/>
          <w:szCs w:val="28"/>
          <w:lang w:val="en-US"/>
        </w:rPr>
      </w:pPr>
      <w:r>
        <w:rPr>
          <w:rFonts w:ascii="Times New Roman" w:hAnsi="Times New Roman" w:cs="Times New Roman"/>
          <w:color w:val="191919" w:themeColor="background1" w:themeShade="1A"/>
          <w:spacing w:val="17"/>
          <w:sz w:val="28"/>
          <w:szCs w:val="28"/>
          <w:lang w:val="en-US"/>
        </w:rPr>
        <w:t>More on CETA</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For the third year in a row, </w:t>
      </w:r>
      <w:r>
        <w:fldChar w:fldCharType="begin"/>
      </w:r>
      <w:r>
        <w:rPr>
          <w:lang w:val="en-US"/>
        </w:rPr>
        <w:instrText xml:space="preserve"> HYPERLINK "https://www.inc.com/nicolas-cole/5-things-millennial-founders-look-for-in-millennia.html" </w:instrText>
      </w:r>
      <w:r>
        <w:fldChar w:fldCharType="separate"/>
      </w:r>
      <w:r>
        <w:rPr>
          <w:rStyle w:val="13"/>
          <w:color w:val="191919" w:themeColor="background1" w:themeShade="1A"/>
          <w:sz w:val="28"/>
          <w:szCs w:val="28"/>
          <w:u w:val="none"/>
          <w:lang w:val="en-US"/>
        </w:rPr>
        <w:t>millennials</w:t>
      </w:r>
      <w:r>
        <w:rPr>
          <w:rStyle w:val="13"/>
          <w:color w:val="191919" w:themeColor="background1" w:themeShade="1A"/>
          <w:sz w:val="28"/>
          <w:szCs w:val="28"/>
          <w:u w:val="none"/>
          <w:lang w:val="en-US"/>
        </w:rPr>
        <w:fldChar w:fldCharType="end"/>
      </w:r>
      <w:r>
        <w:rPr>
          <w:color w:val="191919" w:themeColor="background1" w:themeShade="1A"/>
          <w:sz w:val="28"/>
          <w:szCs w:val="28"/>
          <w:lang w:val="en-US"/>
        </w:rPr>
        <w:t> who participated in the </w:t>
      </w:r>
      <w:r>
        <w:fldChar w:fldCharType="begin"/>
      </w:r>
      <w:r>
        <w:instrText xml:space="preserve"> HYPERLINK "http://shaperssurvey2017.org/static/data/WEF_GSC_Annual_Survey_2017.pdf" \t "_blank" </w:instrText>
      </w:r>
      <w:r>
        <w:fldChar w:fldCharType="separate"/>
      </w:r>
      <w:r>
        <w:rPr>
          <w:rStyle w:val="13"/>
          <w:color w:val="191919" w:themeColor="background1" w:themeShade="1A"/>
          <w:sz w:val="28"/>
          <w:szCs w:val="28"/>
          <w:u w:val="none"/>
          <w:lang w:val="en-US"/>
        </w:rPr>
        <w:t>World Economic Forum's Global Shapers Survey 2017</w:t>
      </w:r>
      <w:r>
        <w:rPr>
          <w:rStyle w:val="13"/>
          <w:color w:val="191919" w:themeColor="background1" w:themeShade="1A"/>
          <w:sz w:val="28"/>
          <w:szCs w:val="28"/>
          <w:u w:val="none"/>
          <w:lang w:val="en-US"/>
        </w:rPr>
        <w:fldChar w:fldCharType="end"/>
      </w:r>
      <w:r>
        <w:rPr>
          <w:color w:val="191919" w:themeColor="background1" w:themeShade="1A"/>
          <w:sz w:val="28"/>
          <w:szCs w:val="28"/>
          <w:lang w:val="en-US"/>
        </w:rPr>
        <w:t> believe climate change is the most serious issue affecting the world today.</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Nearly half (48.8%) of the survey participants chose </w:t>
      </w:r>
      <w:r>
        <w:fldChar w:fldCharType="begin"/>
      </w:r>
      <w:r>
        <w:instrText xml:space="preserve"> HYPERLINK "https://www.inc.com/kaitlyn-wang/ceos-climate-change-paris-accords.html" </w:instrText>
      </w:r>
      <w:r>
        <w:fldChar w:fldCharType="separate"/>
      </w:r>
      <w:r>
        <w:rPr>
          <w:rStyle w:val="13"/>
          <w:color w:val="191919" w:themeColor="background1" w:themeShade="1A"/>
          <w:sz w:val="28"/>
          <w:szCs w:val="28"/>
          <w:u w:val="none"/>
          <w:lang w:val="en-US"/>
        </w:rPr>
        <w:t>climate change</w:t>
      </w:r>
      <w:r>
        <w:rPr>
          <w:rStyle w:val="13"/>
          <w:color w:val="191919" w:themeColor="background1" w:themeShade="1A"/>
          <w:sz w:val="28"/>
          <w:szCs w:val="28"/>
          <w:u w:val="none"/>
          <w:lang w:val="en-US"/>
        </w:rPr>
        <w:fldChar w:fldCharType="end"/>
      </w:r>
      <w:r>
        <w:rPr>
          <w:color w:val="191919" w:themeColor="background1" w:themeShade="1A"/>
          <w:sz w:val="28"/>
          <w:szCs w:val="28"/>
          <w:lang w:val="en-US"/>
        </w:rPr>
        <w:t> as their top concern, and 78.1% said they would be willing to </w:t>
      </w:r>
      <w:r>
        <w:fldChar w:fldCharType="begin"/>
      </w:r>
      <w:r>
        <w:instrText xml:space="preserve"> HYPERLINK "https://www.inc.com/jessica-stillman/12-30-day-challenges-that-will-change-your-life.html" </w:instrText>
      </w:r>
      <w:r>
        <w:fldChar w:fldCharType="separate"/>
      </w:r>
      <w:r>
        <w:rPr>
          <w:rStyle w:val="13"/>
          <w:color w:val="191919" w:themeColor="background1" w:themeShade="1A"/>
          <w:sz w:val="28"/>
          <w:szCs w:val="28"/>
          <w:u w:val="none"/>
          <w:lang w:val="en-US"/>
        </w:rPr>
        <w:t>change their lifestyle</w:t>
      </w:r>
      <w:r>
        <w:rPr>
          <w:rStyle w:val="13"/>
          <w:color w:val="191919" w:themeColor="background1" w:themeShade="1A"/>
          <w:sz w:val="28"/>
          <w:szCs w:val="28"/>
          <w:u w:val="none"/>
          <w:lang w:val="en-US"/>
        </w:rPr>
        <w:fldChar w:fldCharType="end"/>
      </w:r>
      <w:r>
        <w:rPr>
          <w:color w:val="191919" w:themeColor="background1" w:themeShade="1A"/>
          <w:sz w:val="28"/>
          <w:szCs w:val="28"/>
          <w:lang w:val="en-US"/>
        </w:rPr>
        <w:t> to protect the </w:t>
      </w:r>
      <w:r>
        <w:fldChar w:fldCharType="begin"/>
      </w:r>
      <w:r>
        <w:instrText xml:space="preserve"> HYPERLINK "https://www.inc.com/joshua-spodek/leadership-paris-the-environment-and-you.html" </w:instrText>
      </w:r>
      <w:r>
        <w:fldChar w:fldCharType="separate"/>
      </w:r>
      <w:r>
        <w:rPr>
          <w:rStyle w:val="13"/>
          <w:color w:val="191919" w:themeColor="background1" w:themeShade="1A"/>
          <w:sz w:val="28"/>
          <w:szCs w:val="28"/>
          <w:u w:val="none"/>
          <w:lang w:val="en-US"/>
        </w:rPr>
        <w:t>environment</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Survey respondents were also in near unequivocal agreement over the cause of climate change. Over 91% of respondents answered "agree" and "strongly agree" with the statement "science has proven that humans are responsible for climate change."</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results come from the WEF annual survey released this week, which was given to more than 31,000 18-to-35-year-olds across 186 countries.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Read on to see the top-10 most concerning world issues, according to millennials.</w:t>
      </w:r>
    </w:p>
    <w:p>
      <w:pPr>
        <w:pStyle w:val="3"/>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10. Lack of economic opportunity and employment (12.1%)</w:t>
      </w:r>
    </w:p>
    <w:p>
      <w:pPr>
        <w:pStyle w:val="3"/>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9. Safety / security / wellbeing (14.1%)</w:t>
      </w:r>
    </w:p>
    <w:p>
      <w:pPr>
        <w:pStyle w:val="3"/>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8. Lack of education (15.9%)</w:t>
      </w:r>
    </w:p>
    <w:p>
      <w:pPr>
        <w:pStyle w:val="3"/>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7. Food and water security (18.2%)</w:t>
      </w:r>
    </w:p>
    <w:p>
      <w:pPr>
        <w:pStyle w:val="3"/>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6. Government accountability and transparency / corruption (22.7%) </w:t>
      </w:r>
    </w:p>
    <w:p>
      <w:pPr>
        <w:pStyle w:val="3"/>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5. Religious conflicts (23.9%)</w:t>
      </w:r>
    </w:p>
    <w:p>
      <w:pPr>
        <w:pStyle w:val="3"/>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4. Poverty (29.2%)</w:t>
      </w:r>
    </w:p>
    <w:p>
      <w:pPr>
        <w:pStyle w:val="3"/>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3. Inequality (income, discrimination) (30.8%)</w:t>
      </w:r>
    </w:p>
    <w:p>
      <w:pPr>
        <w:pStyle w:val="3"/>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2. Large scale conflict / wars (38.9%)</w:t>
      </w:r>
    </w:p>
    <w:p>
      <w:pPr>
        <w:pStyle w:val="3"/>
        <w:shd w:val="clear" w:color="auto" w:fill="FFFFFF"/>
        <w:spacing w:before="0" w:line="240" w:lineRule="auto"/>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color w:val="191919" w:themeColor="background1" w:themeShade="1A"/>
          <w:sz w:val="28"/>
          <w:szCs w:val="28"/>
          <w:lang w:val="en-US"/>
        </w:rPr>
        <w:t>1. Climate change / destruction of nature (48.8%)</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9"/>
        <w:rPr>
          <w:color w:val="191919" w:themeColor="background1" w:themeShade="1A"/>
          <w:sz w:val="28"/>
          <w:szCs w:val="28"/>
          <w:lang w:val="en-US"/>
        </w:rPr>
      </w:pPr>
      <w:r>
        <w:rPr>
          <w:color w:val="191919" w:themeColor="background1" w:themeShade="1A"/>
          <w:sz w:val="28"/>
          <w:szCs w:val="28"/>
          <w:lang w:val="en-US"/>
        </w:rPr>
        <w:t>Can you answer why the Natural water as a global public good?</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answer why the Global Food consumption security?   </w:t>
      </w:r>
    </w:p>
    <w:p>
      <w:pPr>
        <w:shd w:val="clear" w:color="auto" w:fill="FFFFFF"/>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Can you answer why the</w:t>
      </w:r>
      <w:r>
        <w:rPr>
          <w:color w:val="191919" w:themeColor="background1" w:themeShade="1A"/>
          <w:sz w:val="28"/>
          <w:szCs w:val="28"/>
          <w:lang w:val="en-US"/>
        </w:rPr>
        <w:t xml:space="preserve"> </w:t>
      </w:r>
      <w:r>
        <w:rPr>
          <w:rFonts w:ascii="Times New Roman" w:hAnsi="Times New Roman" w:cs="Times New Roman"/>
          <w:color w:val="191919" w:themeColor="background1" w:themeShade="1A"/>
          <w:sz w:val="28"/>
          <w:szCs w:val="28"/>
          <w:lang w:val="en-US"/>
        </w:rPr>
        <w:t>Global infrastructure to assure the functioning of the global economy?</w:t>
      </w: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References:</w:t>
      </w:r>
    </w:p>
    <w:p>
      <w:pPr>
        <w:numPr>
          <w:ilvl w:val="0"/>
          <w:numId w:val="32"/>
        </w:numPr>
        <w:shd w:val="clear" w:color="auto" w:fill="FFFFFF"/>
        <w:tabs>
          <w:tab w:val="left" w:pos="567"/>
          <w:tab w:val="left" w:pos="993"/>
          <w:tab w:val="clear" w:pos="720"/>
        </w:tabs>
        <w:spacing w:after="0" w:line="240" w:lineRule="auto"/>
        <w:ind w:left="0" w:firstLine="567"/>
        <w:jc w:val="both"/>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iCs/>
          <w:color w:val="191919" w:themeColor="background1" w:themeShade="1A"/>
          <w:sz w:val="28"/>
          <w:szCs w:val="28"/>
          <w:lang w:val="en-US" w:eastAsia="ru-RU"/>
        </w:rPr>
        <w:t>Taylor, Bryan (6 Nov 2013). </w:t>
      </w:r>
      <w:r>
        <w:fldChar w:fldCharType="begin"/>
      </w:r>
      <w:r>
        <w:instrText xml:space="preserve"> HYPERLINK "http://www.businessinsider.com/rise-and-fall-of-united-east-india-2013-11" </w:instrText>
      </w:r>
      <w:r>
        <w:fldChar w:fldCharType="separate"/>
      </w:r>
      <w:r>
        <w:rPr>
          <w:rFonts w:ascii="Times New Roman" w:hAnsi="Times New Roman" w:eastAsia="Times New Roman" w:cs="Times New Roman"/>
          <w:iCs/>
          <w:color w:val="191919" w:themeColor="background1" w:themeShade="1A"/>
          <w:sz w:val="28"/>
          <w:szCs w:val="28"/>
          <w:lang w:val="en-US" w:eastAsia="ru-RU"/>
        </w:rPr>
        <w:t>"The Rise and Fall of the Largest Corporation in History"</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w:t>
      </w:r>
      <w:r>
        <w:fldChar w:fldCharType="begin"/>
      </w:r>
      <w:r>
        <w:instrText xml:space="preserve"> HYPERLINK "https://en.wikipedia.org/wiki/BusinessInsider.com" \o "BusinessInsider.com" </w:instrText>
      </w:r>
      <w:r>
        <w:fldChar w:fldCharType="separate"/>
      </w:r>
      <w:r>
        <w:rPr>
          <w:rFonts w:ascii="Times New Roman" w:hAnsi="Times New Roman" w:eastAsia="Times New Roman" w:cs="Times New Roman"/>
          <w:iCs/>
          <w:color w:val="191919" w:themeColor="background1" w:themeShade="1A"/>
          <w:sz w:val="28"/>
          <w:szCs w:val="28"/>
          <w:lang w:eastAsia="ru-RU"/>
        </w:rPr>
        <w:t>BusinessInsider.com</w:t>
      </w:r>
      <w:r>
        <w:rPr>
          <w:rFonts w:ascii="Times New Roman" w:hAnsi="Times New Roman" w:eastAsia="Times New Roman" w:cs="Times New Roman"/>
          <w:iCs/>
          <w:color w:val="191919" w:themeColor="background1" w:themeShade="1A"/>
          <w:sz w:val="28"/>
          <w:szCs w:val="28"/>
          <w:lang w:eastAsia="ru-RU"/>
        </w:rPr>
        <w:fldChar w:fldCharType="end"/>
      </w:r>
      <w:r>
        <w:rPr>
          <w:rFonts w:ascii="Times New Roman" w:hAnsi="Times New Roman" w:eastAsia="Times New Roman" w:cs="Times New Roman"/>
          <w:iCs/>
          <w:color w:val="191919" w:themeColor="background1" w:themeShade="1A"/>
          <w:sz w:val="28"/>
          <w:szCs w:val="28"/>
          <w:lang w:eastAsia="ru-RU"/>
        </w:rPr>
        <w:t>. Retrieved 8 August 2017.</w:t>
      </w:r>
    </w:p>
    <w:p>
      <w:pPr>
        <w:numPr>
          <w:ilvl w:val="0"/>
          <w:numId w:val="32"/>
        </w:numPr>
        <w:tabs>
          <w:tab w:val="left" w:pos="567"/>
          <w:tab w:val="left" w:pos="993"/>
          <w:tab w:val="clear" w:pos="720"/>
        </w:tabs>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 </w:t>
      </w:r>
      <w:r>
        <w:fldChar w:fldCharType="begin"/>
      </w:r>
      <w:r>
        <w:instrText xml:space="preserve"> HYPERLINK "https://en.wikipedia.org/wiki/Timothy_Brook" \o "Timothy Brook" </w:instrText>
      </w:r>
      <w:r>
        <w:fldChar w:fldCharType="separate"/>
      </w:r>
      <w:r>
        <w:rPr>
          <w:rFonts w:ascii="Times New Roman" w:hAnsi="Times New Roman" w:eastAsia="Times New Roman" w:cs="Times New Roman"/>
          <w:color w:val="191919" w:themeColor="background1" w:themeShade="1A"/>
          <w:sz w:val="28"/>
          <w:szCs w:val="28"/>
          <w:lang w:val="en-US" w:eastAsia="ru-RU"/>
        </w:rPr>
        <w:t>Brook, Timothy</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w:t>
      </w:r>
      <w:r>
        <w:fldChar w:fldCharType="begin"/>
      </w:r>
      <w:r>
        <w:instrText xml:space="preserve"> HYPERLINK "https://en.wikipedia.org/wiki/Vermeer%27s_Hat" \o "Vermeer's Hat" </w:instrText>
      </w:r>
      <w:r>
        <w:fldChar w:fldCharType="separate"/>
      </w:r>
      <w:r>
        <w:rPr>
          <w:rFonts w:ascii="Times New Roman" w:hAnsi="Times New Roman" w:eastAsia="Times New Roman" w:cs="Times New Roman"/>
          <w:iCs/>
          <w:color w:val="191919" w:themeColor="background1" w:themeShade="1A"/>
          <w:sz w:val="28"/>
          <w:szCs w:val="28"/>
          <w:lang w:val="en-US" w:eastAsia="ru-RU"/>
        </w:rPr>
        <w:t>Vermeer's Hat: The Seventeenth Century and the Dawn of the Global World</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(Bloomsbury Press, 2008, pp. 288, </w:t>
      </w:r>
      <w:r>
        <w:fldChar w:fldCharType="begin"/>
      </w:r>
      <w:r>
        <w:instrText xml:space="preserve"> HYPERLINK "https://en.wikipedia.org/wiki/International_Standard_Book_Number" \o "International Standard Book Number" </w:instrText>
      </w:r>
      <w:r>
        <w:fldChar w:fldCharType="separate"/>
      </w:r>
      <w:r>
        <w:rPr>
          <w:rFonts w:ascii="Times New Roman" w:hAnsi="Times New Roman" w:eastAsia="Times New Roman" w:cs="Times New Roman"/>
          <w:color w:val="191919" w:themeColor="background1" w:themeShade="1A"/>
          <w:sz w:val="28"/>
          <w:szCs w:val="28"/>
          <w:lang w:val="en-US" w:eastAsia="ru-RU"/>
        </w:rPr>
        <w:t>ISBN</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w:t>
      </w:r>
      <w:r>
        <w:fldChar w:fldCharType="begin"/>
      </w:r>
      <w:r>
        <w:instrText xml:space="preserve"> HYPERLINK "https://en.wikipedia.org/wiki/Special:BookSources/978-1596915992" \o "Special:BookSources/978-1596915992" </w:instrText>
      </w:r>
      <w:r>
        <w:fldChar w:fldCharType="separate"/>
      </w:r>
      <w:r>
        <w:rPr>
          <w:rFonts w:ascii="Times New Roman" w:hAnsi="Times New Roman" w:eastAsia="Times New Roman" w:cs="Times New Roman"/>
          <w:color w:val="191919" w:themeColor="background1" w:themeShade="1A"/>
          <w:sz w:val="28"/>
          <w:szCs w:val="28"/>
          <w:lang w:val="en-US" w:eastAsia="ru-RU"/>
        </w:rPr>
        <w:t>978-1596915992</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w:t>
      </w:r>
    </w:p>
    <w:p>
      <w:pPr>
        <w:numPr>
          <w:ilvl w:val="0"/>
          <w:numId w:val="32"/>
        </w:numPr>
        <w:tabs>
          <w:tab w:val="left" w:pos="567"/>
          <w:tab w:val="left" w:pos="993"/>
          <w:tab w:val="clear" w:pos="720"/>
        </w:tabs>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fldChar w:fldCharType="begin"/>
      </w:r>
      <w:r>
        <w:instrText xml:space="preserve"> HYPERLINK "https://en.wikipedia.org/wiki/Murray_Sayle" \o "Murray Sayle" </w:instrText>
      </w:r>
      <w:r>
        <w:fldChar w:fldCharType="separate"/>
      </w:r>
      <w:r>
        <w:rPr>
          <w:rFonts w:ascii="Times New Roman" w:hAnsi="Times New Roman" w:eastAsia="Times New Roman" w:cs="Times New Roman"/>
          <w:iCs/>
          <w:color w:val="191919" w:themeColor="background1" w:themeShade="1A"/>
          <w:sz w:val="28"/>
          <w:szCs w:val="28"/>
          <w:lang w:val="en-US" w:eastAsia="ru-RU"/>
        </w:rPr>
        <w:t>Sayle, Murray</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(5 April 2001). </w:t>
      </w:r>
      <w:r>
        <w:fldChar w:fldCharType="begin"/>
      </w:r>
      <w:r>
        <w:instrText xml:space="preserve"> HYPERLINK "http://www.lrb.co.uk/v23/n07/murray-sayle/japan-goes-dutch" </w:instrText>
      </w:r>
      <w:r>
        <w:fldChar w:fldCharType="separate"/>
      </w:r>
      <w:r>
        <w:rPr>
          <w:rFonts w:ascii="Times New Roman" w:hAnsi="Times New Roman" w:eastAsia="Times New Roman" w:cs="Times New Roman"/>
          <w:iCs/>
          <w:color w:val="191919" w:themeColor="background1" w:themeShade="1A"/>
          <w:sz w:val="28"/>
          <w:szCs w:val="28"/>
          <w:lang w:val="en-US" w:eastAsia="ru-RU"/>
        </w:rPr>
        <w:t>"Japan goes Dutch"</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w:t>
      </w:r>
      <w:r>
        <w:fldChar w:fldCharType="begin"/>
      </w:r>
      <w:r>
        <w:instrText xml:space="preserve"> HYPERLINK "https://en.wikipedia.org/wiki/London_Review_of_Books" \o "London Review of Books" </w:instrText>
      </w:r>
      <w:r>
        <w:fldChar w:fldCharType="separate"/>
      </w:r>
      <w:r>
        <w:rPr>
          <w:rFonts w:ascii="Times New Roman" w:hAnsi="Times New Roman" w:eastAsia="Times New Roman" w:cs="Times New Roman"/>
          <w:iCs/>
          <w:color w:val="191919" w:themeColor="background1" w:themeShade="1A"/>
          <w:sz w:val="28"/>
          <w:szCs w:val="28"/>
          <w:lang w:val="en-US" w:eastAsia="ru-RU"/>
        </w:rPr>
        <w:t>London Review of Books</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Vol. 23 No. 7. Retrieved 13 March 2018. </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pStyle w:val="19"/>
        <w:jc w:val="both"/>
        <w:rPr>
          <w:color w:val="191919" w:themeColor="background1" w:themeShade="1A"/>
          <w:sz w:val="28"/>
          <w:szCs w:val="28"/>
          <w:lang w:val="en-US"/>
        </w:rPr>
      </w:pPr>
      <w:r>
        <w:rPr>
          <w:b/>
          <w:color w:val="191919" w:themeColor="background1" w:themeShade="1A"/>
          <w:sz w:val="28"/>
          <w:szCs w:val="28"/>
          <w:lang w:val="en-US"/>
        </w:rPr>
        <w:t xml:space="preserve">Subject 9. </w:t>
      </w:r>
      <w:r>
        <w:rPr>
          <w:b/>
          <w:bCs/>
          <w:color w:val="191919" w:themeColor="background1" w:themeShade="1A"/>
          <w:sz w:val="28"/>
          <w:szCs w:val="28"/>
          <w:lang w:val="en-US"/>
        </w:rPr>
        <w:t xml:space="preserve">Transnational companies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International Capital Flows.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A link to macroeconomics. Main theories of transnational companies.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The history of TNC development.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Main trends in TNC activity. </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xml:space="preserve">A </w:t>
      </w:r>
      <w:r>
        <w:rPr>
          <w:bCs/>
          <w:color w:val="191919" w:themeColor="background1" w:themeShade="1A"/>
          <w:sz w:val="28"/>
          <w:szCs w:val="28"/>
          <w:lang w:val="en-US"/>
        </w:rPr>
        <w:t>multinational corporation</w:t>
      </w:r>
      <w:r>
        <w:rPr>
          <w:color w:val="191919" w:themeColor="background1" w:themeShade="1A"/>
          <w:sz w:val="28"/>
          <w:szCs w:val="28"/>
          <w:lang w:val="en-US"/>
        </w:rPr>
        <w:t xml:space="preserve"> (</w:t>
      </w:r>
      <w:r>
        <w:rPr>
          <w:bCs/>
          <w:color w:val="191919" w:themeColor="background1" w:themeShade="1A"/>
          <w:sz w:val="28"/>
          <w:szCs w:val="28"/>
          <w:lang w:val="en-US"/>
        </w:rPr>
        <w:t>MNC</w:t>
      </w:r>
      <w:r>
        <w:rPr>
          <w:color w:val="191919" w:themeColor="background1" w:themeShade="1A"/>
          <w:sz w:val="28"/>
          <w:szCs w:val="28"/>
          <w:lang w:val="en-US"/>
        </w:rPr>
        <w:t xml:space="preserve">) or </w:t>
      </w:r>
      <w:r>
        <w:rPr>
          <w:bCs/>
          <w:color w:val="191919" w:themeColor="background1" w:themeShade="1A"/>
          <w:sz w:val="28"/>
          <w:szCs w:val="28"/>
          <w:lang w:val="en-US"/>
        </w:rPr>
        <w:t>worldwide enterprise</w:t>
      </w:r>
      <w:r>
        <w:rPr>
          <w:color w:val="191919" w:themeColor="background1" w:themeShade="1A"/>
          <w:sz w:val="28"/>
          <w:szCs w:val="28"/>
          <w:lang w:val="en-US"/>
        </w:rPr>
        <w:t xml:space="preserve"> is a </w:t>
      </w:r>
      <w:r>
        <w:fldChar w:fldCharType="begin"/>
      </w:r>
      <w:r>
        <w:instrText xml:space="preserve"> HYPERLINK "https://en.wikipedia.org/wiki/Corporation" \o "Corporation" </w:instrText>
      </w:r>
      <w:r>
        <w:fldChar w:fldCharType="separate"/>
      </w:r>
      <w:r>
        <w:rPr>
          <w:rStyle w:val="13"/>
          <w:color w:val="191919" w:themeColor="background1" w:themeShade="1A"/>
          <w:sz w:val="28"/>
          <w:szCs w:val="28"/>
          <w:u w:val="none"/>
          <w:lang w:val="en-US"/>
        </w:rPr>
        <w:t>corporate</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w:t>
      </w:r>
      <w:r>
        <w:fldChar w:fldCharType="begin"/>
      </w:r>
      <w:r>
        <w:instrText xml:space="preserve"> HYPERLINK "https://en.wikipedia.org/wiki/Organization" \o "Organization" </w:instrText>
      </w:r>
      <w:r>
        <w:fldChar w:fldCharType="separate"/>
      </w:r>
      <w:r>
        <w:rPr>
          <w:rStyle w:val="13"/>
          <w:color w:val="191919" w:themeColor="background1" w:themeShade="1A"/>
          <w:sz w:val="28"/>
          <w:szCs w:val="28"/>
          <w:u w:val="none"/>
          <w:lang w:val="en-US"/>
        </w:rPr>
        <w:t>organization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which owns or controls production of goods or services in at least one country other than its home country. </w:t>
      </w:r>
      <w:r>
        <w:fldChar w:fldCharType="begin"/>
      </w:r>
      <w:r>
        <w:instrText xml:space="preserve"> HYPERLINK "https://en.wikipedia.org/wiki/Black%27s_Law_Dictionary" \o "Black's Law Dictionary" </w:instrText>
      </w:r>
      <w:r>
        <w:fldChar w:fldCharType="separate"/>
      </w:r>
      <w:r>
        <w:rPr>
          <w:rStyle w:val="13"/>
          <w:color w:val="191919" w:themeColor="background1" w:themeShade="1A"/>
          <w:sz w:val="28"/>
          <w:szCs w:val="28"/>
          <w:u w:val="none"/>
          <w:lang w:val="en-US"/>
        </w:rPr>
        <w:t>Black's Law Dictionary</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suggests that a company or group should be considered a multinational corporation if it derives 25% or more of its revenue from out-of-home-country operations. A multinational corporation can also be referred to as a </w:t>
      </w:r>
      <w:r>
        <w:rPr>
          <w:bCs/>
          <w:color w:val="191919" w:themeColor="background1" w:themeShade="1A"/>
          <w:sz w:val="28"/>
          <w:szCs w:val="28"/>
          <w:lang w:val="en-US"/>
        </w:rPr>
        <w:t>multinational enterprise</w:t>
      </w:r>
      <w:r>
        <w:rPr>
          <w:color w:val="191919" w:themeColor="background1" w:themeShade="1A"/>
          <w:sz w:val="28"/>
          <w:szCs w:val="28"/>
          <w:lang w:val="en-US"/>
        </w:rPr>
        <w:t xml:space="preserve"> (</w:t>
      </w:r>
      <w:r>
        <w:rPr>
          <w:bCs/>
          <w:color w:val="191919" w:themeColor="background1" w:themeShade="1A"/>
          <w:sz w:val="28"/>
          <w:szCs w:val="28"/>
          <w:lang w:val="en-US"/>
        </w:rPr>
        <w:t>MNE</w:t>
      </w:r>
      <w:r>
        <w:rPr>
          <w:color w:val="191919" w:themeColor="background1" w:themeShade="1A"/>
          <w:sz w:val="28"/>
          <w:szCs w:val="28"/>
          <w:lang w:val="en-US"/>
        </w:rPr>
        <w:t xml:space="preserve">), a </w:t>
      </w:r>
      <w:r>
        <w:rPr>
          <w:bCs/>
          <w:color w:val="191919" w:themeColor="background1" w:themeShade="1A"/>
          <w:sz w:val="28"/>
          <w:szCs w:val="28"/>
          <w:lang w:val="en-US"/>
        </w:rPr>
        <w:t>transnational enterprise</w:t>
      </w:r>
      <w:r>
        <w:rPr>
          <w:color w:val="191919" w:themeColor="background1" w:themeShade="1A"/>
          <w:sz w:val="28"/>
          <w:szCs w:val="28"/>
          <w:lang w:val="en-US"/>
        </w:rPr>
        <w:t xml:space="preserve"> (</w:t>
      </w:r>
      <w:r>
        <w:rPr>
          <w:bCs/>
          <w:color w:val="191919" w:themeColor="background1" w:themeShade="1A"/>
          <w:sz w:val="28"/>
          <w:szCs w:val="28"/>
          <w:lang w:val="en-US"/>
        </w:rPr>
        <w:t>TNE</w:t>
      </w:r>
      <w:r>
        <w:rPr>
          <w:color w:val="191919" w:themeColor="background1" w:themeShade="1A"/>
          <w:sz w:val="28"/>
          <w:szCs w:val="28"/>
          <w:lang w:val="en-US"/>
        </w:rPr>
        <w:t xml:space="preserve">), a </w:t>
      </w:r>
      <w:r>
        <w:rPr>
          <w:bCs/>
          <w:color w:val="191919" w:themeColor="background1" w:themeShade="1A"/>
          <w:sz w:val="28"/>
          <w:szCs w:val="28"/>
          <w:lang w:val="en-US"/>
        </w:rPr>
        <w:t xml:space="preserve">transnational corporation </w:t>
      </w:r>
      <w:r>
        <w:rPr>
          <w:color w:val="191919" w:themeColor="background1" w:themeShade="1A"/>
          <w:sz w:val="28"/>
          <w:szCs w:val="28"/>
          <w:lang w:val="en-US"/>
        </w:rPr>
        <w:t>(</w:t>
      </w:r>
      <w:r>
        <w:rPr>
          <w:bCs/>
          <w:color w:val="191919" w:themeColor="background1" w:themeShade="1A"/>
          <w:sz w:val="28"/>
          <w:szCs w:val="28"/>
          <w:lang w:val="en-US"/>
        </w:rPr>
        <w:t>TNC</w:t>
      </w:r>
      <w:r>
        <w:rPr>
          <w:color w:val="191919" w:themeColor="background1" w:themeShade="1A"/>
          <w:sz w:val="28"/>
          <w:szCs w:val="28"/>
          <w:lang w:val="en-US"/>
        </w:rPr>
        <w:t xml:space="preserve">), an </w:t>
      </w:r>
      <w:r>
        <w:rPr>
          <w:bCs/>
          <w:color w:val="191919" w:themeColor="background1" w:themeShade="1A"/>
          <w:sz w:val="28"/>
          <w:szCs w:val="28"/>
          <w:lang w:val="en-US"/>
        </w:rPr>
        <w:t>international corporation</w:t>
      </w:r>
      <w:r>
        <w:rPr>
          <w:color w:val="191919" w:themeColor="background1" w:themeShade="1A"/>
          <w:sz w:val="28"/>
          <w:szCs w:val="28"/>
          <w:lang w:val="en-US"/>
        </w:rPr>
        <w:t xml:space="preserve">, or a </w:t>
      </w:r>
      <w:r>
        <w:rPr>
          <w:bCs/>
          <w:color w:val="191919" w:themeColor="background1" w:themeShade="1A"/>
          <w:sz w:val="28"/>
          <w:szCs w:val="28"/>
          <w:lang w:val="en-US"/>
        </w:rPr>
        <w:t>stateless corporation</w:t>
      </w:r>
      <w:r>
        <w:rPr>
          <w:color w:val="191919" w:themeColor="background1" w:themeShade="1A"/>
          <w:sz w:val="28"/>
          <w:szCs w:val="28"/>
          <w:lang w:val="en-US"/>
        </w:rPr>
        <w:t>. There are subtle but real differences between these three labels, as well as multinational corporation and worldwide enterprise.</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xml:space="preserve">Most of the largest and most influential companies of the modern age are publicly traded multinational corporations, including </w:t>
      </w:r>
      <w:r>
        <w:fldChar w:fldCharType="begin"/>
      </w:r>
      <w:r>
        <w:instrText xml:space="preserve"> HYPERLINK "https://en.wikipedia.org/wiki/Forbes_Global_2000" \o "Forbes Global 2000" </w:instrText>
      </w:r>
      <w:r>
        <w:fldChar w:fldCharType="separate"/>
      </w:r>
      <w:r>
        <w:rPr>
          <w:rStyle w:val="13"/>
          <w:iCs/>
          <w:color w:val="191919" w:themeColor="background1" w:themeShade="1A"/>
          <w:sz w:val="28"/>
          <w:szCs w:val="28"/>
          <w:u w:val="none"/>
          <w:lang w:val="en-US"/>
        </w:rPr>
        <w:t>Forbes Global 2000</w:t>
      </w:r>
      <w:r>
        <w:rPr>
          <w:rStyle w:val="13"/>
          <w:iCs/>
          <w:color w:val="191919" w:themeColor="background1" w:themeShade="1A"/>
          <w:sz w:val="28"/>
          <w:szCs w:val="28"/>
          <w:u w:val="none"/>
          <w:lang w:val="en-US"/>
        </w:rPr>
        <w:fldChar w:fldCharType="end"/>
      </w:r>
      <w:r>
        <w:rPr>
          <w:color w:val="191919" w:themeColor="background1" w:themeShade="1A"/>
          <w:sz w:val="28"/>
          <w:szCs w:val="28"/>
          <w:lang w:val="en-US"/>
        </w:rPr>
        <w:t xml:space="preserve"> companies. Multinational corporations are subject to </w:t>
      </w:r>
      <w:r>
        <w:fldChar w:fldCharType="begin"/>
      </w:r>
      <w:r>
        <w:instrText xml:space="preserve"> HYPERLINK "https://en.wikipedia.org/wiki/Multinational_corporation" \l "Criticism" </w:instrText>
      </w:r>
      <w:r>
        <w:fldChar w:fldCharType="separate"/>
      </w:r>
      <w:r>
        <w:rPr>
          <w:rStyle w:val="13"/>
          <w:color w:val="191919" w:themeColor="background1" w:themeShade="1A"/>
          <w:sz w:val="28"/>
          <w:szCs w:val="28"/>
          <w:u w:val="none"/>
          <w:lang w:val="en-US"/>
        </w:rPr>
        <w:t>criticisms</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for lacking </w:t>
      </w:r>
      <w:r>
        <w:fldChar w:fldCharType="begin"/>
      </w:r>
      <w:r>
        <w:instrText xml:space="preserve"> HYPERLINK "https://en.wikipedia.org/wiki/Ethics" \o "Ethics" </w:instrText>
      </w:r>
      <w:r>
        <w:fldChar w:fldCharType="separate"/>
      </w:r>
      <w:r>
        <w:rPr>
          <w:rStyle w:val="13"/>
          <w:color w:val="191919" w:themeColor="background1" w:themeShade="1A"/>
          <w:sz w:val="28"/>
          <w:szCs w:val="28"/>
          <w:u w:val="none"/>
          <w:lang w:val="en-US"/>
        </w:rPr>
        <w:t>ethical standards</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and that this shows up in how they evade ethical laws and leverage their own business agenda with capital, and even the military backing of their own wealthy host nation-states. They have also become associated with </w:t>
      </w:r>
      <w:r>
        <w:fldChar w:fldCharType="begin"/>
      </w:r>
      <w:r>
        <w:instrText xml:space="preserve"> HYPERLINK "https://en.wikipedia.org/wiki/Multinational_tax_haven" \o "Multinational tax haven" </w:instrText>
      </w:r>
      <w:r>
        <w:fldChar w:fldCharType="separate"/>
      </w:r>
      <w:r>
        <w:rPr>
          <w:rStyle w:val="13"/>
          <w:color w:val="191919" w:themeColor="background1" w:themeShade="1A"/>
          <w:sz w:val="28"/>
          <w:szCs w:val="28"/>
          <w:u w:val="none"/>
          <w:lang w:val="en-US"/>
        </w:rPr>
        <w:t>multinational tax havens</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and </w:t>
      </w:r>
      <w:r>
        <w:fldChar w:fldCharType="begin"/>
      </w:r>
      <w:r>
        <w:instrText xml:space="preserve"> HYPERLINK "https://en.wikipedia.org/wiki/Base_erosion_and_profit_shifting" \o "Base erosion and profit shifting" </w:instrText>
      </w:r>
      <w:r>
        <w:fldChar w:fldCharType="separate"/>
      </w:r>
      <w:r>
        <w:rPr>
          <w:rStyle w:val="13"/>
          <w:color w:val="191919" w:themeColor="background1" w:themeShade="1A"/>
          <w:sz w:val="28"/>
          <w:szCs w:val="28"/>
          <w:u w:val="none"/>
          <w:lang w:val="en-US"/>
        </w:rPr>
        <w:t>base erosion and profit shifting</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tax avoidance activities.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b/>
      </w:r>
      <w:r>
        <w:fldChar w:fldCharType="begin"/>
      </w:r>
      <w:r>
        <w:instrText xml:space="preserve"> HYPERLINK "https://en.wikipedia.org/wiki/Toyota" \o "Toyota" </w:instrText>
      </w:r>
      <w:r>
        <w:fldChar w:fldCharType="separate"/>
      </w:r>
      <w:r>
        <w:rPr>
          <w:rStyle w:val="13"/>
          <w:rFonts w:ascii="Times New Roman" w:hAnsi="Times New Roman" w:cs="Times New Roman"/>
          <w:color w:val="191919" w:themeColor="background1" w:themeShade="1A"/>
          <w:sz w:val="28"/>
          <w:szCs w:val="28"/>
          <w:u w:val="none"/>
          <w:lang w:val="en-US"/>
        </w:rPr>
        <w:t>Toyota</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xml:space="preserve"> is one of the world's largest multinational corporations with their headquarters in </w:t>
      </w:r>
      <w:r>
        <w:fldChar w:fldCharType="begin"/>
      </w:r>
      <w:r>
        <w:instrText xml:space="preserve"> HYPERLINK "https://en.wikipedia.org/wiki/Toyota_City" \o "Toyota City" </w:instrText>
      </w:r>
      <w:r>
        <w:fldChar w:fldCharType="separate"/>
      </w:r>
      <w:r>
        <w:rPr>
          <w:rStyle w:val="13"/>
          <w:rFonts w:ascii="Times New Roman" w:hAnsi="Times New Roman" w:cs="Times New Roman"/>
          <w:color w:val="191919" w:themeColor="background1" w:themeShade="1A"/>
          <w:sz w:val="28"/>
          <w:szCs w:val="28"/>
          <w:u w:val="none"/>
          <w:lang w:val="en-US"/>
        </w:rPr>
        <w:t>Toyota City</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xml:space="preserve">, </w:t>
      </w:r>
      <w:r>
        <w:fldChar w:fldCharType="begin"/>
      </w:r>
      <w:r>
        <w:instrText xml:space="preserve"> HYPERLINK "https://en.wikipedia.org/wiki/Japan" \o "Japan" </w:instrText>
      </w:r>
      <w:r>
        <w:fldChar w:fldCharType="separate"/>
      </w:r>
      <w:r>
        <w:rPr>
          <w:rStyle w:val="13"/>
          <w:rFonts w:ascii="Times New Roman" w:hAnsi="Times New Roman" w:cs="Times New Roman"/>
          <w:color w:val="191919" w:themeColor="background1" w:themeShade="1A"/>
          <w:sz w:val="28"/>
          <w:szCs w:val="28"/>
          <w:u w:val="none"/>
          <w:lang w:val="en-US"/>
        </w:rPr>
        <w:t>Japan</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A multinational corporation (MNC) is usually a large corporation incorporated in one country which produces or sells goods or services in various countries. The two main characteristics of MNCs are their large size and the fact that their worldwide activities are centrally controlled by the parent companies.</w:t>
      </w:r>
    </w:p>
    <w:p>
      <w:pPr>
        <w:numPr>
          <w:ilvl w:val="0"/>
          <w:numId w:val="33"/>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fldChar w:fldCharType="begin"/>
      </w:r>
      <w:r>
        <w:instrText xml:space="preserve"> HYPERLINK "https://en.wikipedia.org/wiki/Import" \o "Import" </w:instrText>
      </w:r>
      <w:r>
        <w:fldChar w:fldCharType="separate"/>
      </w:r>
      <w:r>
        <w:rPr>
          <w:rStyle w:val="13"/>
          <w:rFonts w:ascii="Times New Roman" w:hAnsi="Times New Roman" w:cs="Times New Roman"/>
          <w:color w:val="191919" w:themeColor="background1" w:themeShade="1A"/>
          <w:sz w:val="28"/>
          <w:szCs w:val="28"/>
          <w:u w:val="none"/>
          <w:lang w:val="en-US"/>
        </w:rPr>
        <w:t>Importing</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xml:space="preserve"> and </w:t>
      </w:r>
      <w:r>
        <w:fldChar w:fldCharType="begin"/>
      </w:r>
      <w:r>
        <w:instrText xml:space="preserve"> HYPERLINK "https://en.wikipedia.org/wiki/Export" \o "Export" </w:instrText>
      </w:r>
      <w:r>
        <w:fldChar w:fldCharType="separate"/>
      </w:r>
      <w:r>
        <w:rPr>
          <w:rStyle w:val="13"/>
          <w:rFonts w:ascii="Times New Roman" w:hAnsi="Times New Roman" w:cs="Times New Roman"/>
          <w:color w:val="191919" w:themeColor="background1" w:themeShade="1A"/>
          <w:sz w:val="28"/>
          <w:szCs w:val="28"/>
          <w:u w:val="none"/>
          <w:lang w:val="en-US"/>
        </w:rPr>
        <w:t>exporting</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xml:space="preserve"> goods and services</w:t>
      </w:r>
    </w:p>
    <w:p>
      <w:pPr>
        <w:numPr>
          <w:ilvl w:val="0"/>
          <w:numId w:val="33"/>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Making significant investments in a foreign country</w:t>
      </w:r>
    </w:p>
    <w:p>
      <w:pPr>
        <w:numPr>
          <w:ilvl w:val="0"/>
          <w:numId w:val="33"/>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Buying and selling licenses in foreign markets</w:t>
      </w:r>
    </w:p>
    <w:p>
      <w:pPr>
        <w:numPr>
          <w:ilvl w:val="0"/>
          <w:numId w:val="33"/>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Engaging in </w:t>
      </w:r>
      <w:r>
        <w:fldChar w:fldCharType="begin"/>
      </w:r>
      <w:r>
        <w:instrText xml:space="preserve"> HYPERLINK "https://en.wikipedia.org/wiki/Contract_manufacturing" \o "Contract manufacturing" </w:instrText>
      </w:r>
      <w:r>
        <w:fldChar w:fldCharType="separate"/>
      </w:r>
      <w:r>
        <w:rPr>
          <w:rStyle w:val="13"/>
          <w:rFonts w:ascii="Times New Roman" w:hAnsi="Times New Roman" w:cs="Times New Roman"/>
          <w:color w:val="191919" w:themeColor="background1" w:themeShade="1A"/>
          <w:sz w:val="28"/>
          <w:szCs w:val="28"/>
          <w:u w:val="none"/>
          <w:lang w:val="en-US"/>
        </w:rPr>
        <w:t>contract manufacturing</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xml:space="preserve"> - permitting a local manufacturer in a foreign country to produce their products</w:t>
      </w:r>
    </w:p>
    <w:p>
      <w:pPr>
        <w:numPr>
          <w:ilvl w:val="0"/>
          <w:numId w:val="33"/>
        </w:numPr>
        <w:tabs>
          <w:tab w:val="left" w:pos="426"/>
        </w:tabs>
        <w:spacing w:after="0" w:line="240" w:lineRule="auto"/>
        <w:ind w:left="0" w:firstLine="0"/>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Opening manufacturing facilities or assembly operations in foreign countries</w:t>
      </w:r>
    </w:p>
    <w:p>
      <w:pPr>
        <w:pStyle w:val="10"/>
        <w:numPr>
          <w:ilvl w:val="0"/>
          <w:numId w:val="33"/>
        </w:numPr>
        <w:tabs>
          <w:tab w:val="left" w:pos="426"/>
        </w:tabs>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 xml:space="preserve">MNCs may gain from their global presence in a variety of ways. First of all, MNCs can benefit from the </w:t>
      </w:r>
      <w:r>
        <w:fldChar w:fldCharType="begin"/>
      </w:r>
      <w:r>
        <w:instrText xml:space="preserve"> HYPERLINK "https://en.wikipedia.org/wiki/Economy_of_scale" \o "Economy of scale" </w:instrText>
      </w:r>
      <w:r>
        <w:fldChar w:fldCharType="separate"/>
      </w:r>
      <w:r>
        <w:rPr>
          <w:rStyle w:val="13"/>
          <w:color w:val="191919" w:themeColor="background1" w:themeShade="1A"/>
          <w:sz w:val="28"/>
          <w:szCs w:val="28"/>
          <w:u w:val="none"/>
          <w:lang w:val="en-US"/>
        </w:rPr>
        <w:t>economy of scale</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by spreading </w:t>
      </w:r>
      <w:r>
        <w:fldChar w:fldCharType="begin"/>
      </w:r>
      <w:r>
        <w:instrText xml:space="preserve"> HYPERLINK "https://en.wikipedia.org/wiki/R%26D" \o "R&amp;D" </w:instrText>
      </w:r>
      <w:r>
        <w:fldChar w:fldCharType="separate"/>
      </w:r>
      <w:r>
        <w:rPr>
          <w:rStyle w:val="13"/>
          <w:color w:val="191919" w:themeColor="background1" w:themeShade="1A"/>
          <w:sz w:val="28"/>
          <w:szCs w:val="28"/>
          <w:u w:val="none"/>
          <w:lang w:val="en-US"/>
        </w:rPr>
        <w:t>R&amp;D</w:t>
      </w:r>
      <w:r>
        <w:rPr>
          <w:rStyle w:val="13"/>
          <w:color w:val="191919" w:themeColor="background1" w:themeShade="1A"/>
          <w:sz w:val="28"/>
          <w:szCs w:val="28"/>
          <w:u w:val="none"/>
          <w:lang w:val="en-US"/>
        </w:rPr>
        <w:fldChar w:fldCharType="end"/>
      </w:r>
      <w:r>
        <w:rPr>
          <w:color w:val="191919" w:themeColor="background1" w:themeShade="1A"/>
          <w:sz w:val="28"/>
          <w:szCs w:val="28"/>
          <w:lang w:val="en-US"/>
        </w:rPr>
        <w:t>expenditures and advertising costs over their global sales, pooling global purchasing power over suppliers, and utilizing their technological and managerial know-how globally with minimal additional costs. Furthermore, MNCs can use their global presence to take advantage of underpriced labor services available in certain developing countries, and gain access to special R&amp;D capabilities residing in advanced foreign countries.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problem of moral and legal constraints upon the behavior of multinational corporations, given that they are effectively "stateless" actors, is one of several urgent global </w:t>
      </w:r>
      <w:r>
        <w:fldChar w:fldCharType="begin"/>
      </w:r>
      <w:r>
        <w:instrText xml:space="preserve"> HYPERLINK "https://en.wikipedia.org/wiki/Socioeconomic" \o "Socioeconomic" </w:instrText>
      </w:r>
      <w:r>
        <w:fldChar w:fldCharType="separate"/>
      </w:r>
      <w:r>
        <w:rPr>
          <w:rStyle w:val="13"/>
          <w:color w:val="191919" w:themeColor="background1" w:themeShade="1A"/>
          <w:sz w:val="28"/>
          <w:szCs w:val="28"/>
          <w:u w:val="none"/>
          <w:lang w:val="en-US"/>
        </w:rPr>
        <w:t>socioeconomic</w:t>
      </w:r>
      <w:r>
        <w:rPr>
          <w:rStyle w:val="13"/>
          <w:color w:val="191919" w:themeColor="background1" w:themeShade="1A"/>
          <w:sz w:val="28"/>
          <w:szCs w:val="28"/>
          <w:u w:val="none"/>
          <w:lang w:val="en-US"/>
        </w:rPr>
        <w:fldChar w:fldCharType="end"/>
      </w:r>
      <w:r>
        <w:rPr>
          <w:color w:val="191919" w:themeColor="background1" w:themeShade="1A"/>
          <w:sz w:val="28"/>
          <w:szCs w:val="28"/>
          <w:lang w:val="en-US"/>
        </w:rPr>
        <w:t> problems that emerged during the late twentieth century.</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xml:space="preserve">Potentially, the best concept for analyzing society's governance limitations over modern corporations is the concept of "stateless corporations". Coined at least as early as 1990 in </w:t>
      </w:r>
      <w:r>
        <w:fldChar w:fldCharType="begin"/>
      </w:r>
      <w:r>
        <w:instrText xml:space="preserve"> HYPERLINK "https://en.wikipedia.org/wiki/Business_Week" \o "Business Week" </w:instrText>
      </w:r>
      <w:r>
        <w:fldChar w:fldCharType="separate"/>
      </w:r>
      <w:r>
        <w:rPr>
          <w:rStyle w:val="13"/>
          <w:iCs/>
          <w:color w:val="191919" w:themeColor="background1" w:themeShade="1A"/>
          <w:sz w:val="28"/>
          <w:szCs w:val="28"/>
          <w:u w:val="none"/>
          <w:lang w:val="en-US"/>
        </w:rPr>
        <w:t>Business Week</w:t>
      </w:r>
      <w:r>
        <w:rPr>
          <w:rStyle w:val="13"/>
          <w:iCs/>
          <w:color w:val="191919" w:themeColor="background1" w:themeShade="1A"/>
          <w:sz w:val="28"/>
          <w:szCs w:val="28"/>
          <w:u w:val="none"/>
          <w:lang w:val="en-US"/>
        </w:rPr>
        <w:fldChar w:fldCharType="end"/>
      </w:r>
      <w:r>
        <w:rPr>
          <w:color w:val="191919" w:themeColor="background1" w:themeShade="1A"/>
          <w:sz w:val="28"/>
          <w:szCs w:val="28"/>
          <w:lang w:val="en-US"/>
        </w:rPr>
        <w:t xml:space="preserve">, the conception was theoretically clarified in 1992: that an empirical strategy for defining a stateless corporation is with analytical tools at the intersection between </w:t>
      </w:r>
      <w:r>
        <w:fldChar w:fldCharType="begin"/>
      </w:r>
      <w:r>
        <w:instrText xml:space="preserve"> HYPERLINK "https://en.wikipedia.org/wiki/Demographic" \o "Demographic" </w:instrText>
      </w:r>
      <w:r>
        <w:fldChar w:fldCharType="separate"/>
      </w:r>
      <w:r>
        <w:rPr>
          <w:rStyle w:val="13"/>
          <w:color w:val="191919" w:themeColor="background1" w:themeShade="1A"/>
          <w:sz w:val="28"/>
          <w:szCs w:val="28"/>
          <w:u w:val="none"/>
          <w:lang w:val="en-US"/>
        </w:rPr>
        <w:t>demographic</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analysis and </w:t>
      </w:r>
      <w:r>
        <w:fldChar w:fldCharType="begin"/>
      </w:r>
      <w:r>
        <w:instrText xml:space="preserve"> HYPERLINK "https://en.wikipedia.org/wiki/Transportation" \o "Transportation" </w:instrText>
      </w:r>
      <w:r>
        <w:fldChar w:fldCharType="separate"/>
      </w:r>
      <w:r>
        <w:rPr>
          <w:rStyle w:val="13"/>
          <w:color w:val="191919" w:themeColor="background1" w:themeShade="1A"/>
          <w:sz w:val="28"/>
          <w:szCs w:val="28"/>
          <w:u w:val="none"/>
          <w:lang w:val="en-US"/>
        </w:rPr>
        <w:t>transportation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research. This intersection is known as </w:t>
      </w:r>
      <w:r>
        <w:fldChar w:fldCharType="begin"/>
      </w:r>
      <w:r>
        <w:instrText xml:space="preserve"> HYPERLINK "https://en.wikipedia.org/wiki/Logistics" \o "Logistics" </w:instrText>
      </w:r>
      <w:r>
        <w:fldChar w:fldCharType="separate"/>
      </w:r>
      <w:r>
        <w:rPr>
          <w:rStyle w:val="13"/>
          <w:color w:val="191919" w:themeColor="background1" w:themeShade="1A"/>
          <w:sz w:val="28"/>
          <w:szCs w:val="28"/>
          <w:u w:val="none"/>
          <w:lang w:val="en-US"/>
        </w:rPr>
        <w:t>logistics management</w:t>
      </w:r>
      <w:r>
        <w:rPr>
          <w:rStyle w:val="13"/>
          <w:color w:val="191919" w:themeColor="background1" w:themeShade="1A"/>
          <w:sz w:val="28"/>
          <w:szCs w:val="28"/>
          <w:u w:val="none"/>
          <w:lang w:val="en-US"/>
        </w:rPr>
        <w:fldChar w:fldCharType="end"/>
      </w:r>
      <w:r>
        <w:rPr>
          <w:color w:val="191919" w:themeColor="background1" w:themeShade="1A"/>
          <w:sz w:val="28"/>
          <w:szCs w:val="28"/>
          <w:lang w:val="en-US"/>
        </w:rPr>
        <w:t>, and it describes the importance of rapidly increasing global mobility of resources. In a long history of analysis of multinational corporations we are some quarter century into an era of stateless corporations - corporations which meet the realities of the needs of source materials on a worldwide basis and to produce and customize products for individual countries.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xml:space="preserve">One of the first multinational business organizations, the </w:t>
      </w:r>
      <w:r>
        <w:fldChar w:fldCharType="begin"/>
      </w:r>
      <w:r>
        <w:instrText xml:space="preserve"> HYPERLINK "https://en.wikipedia.org/wiki/East_India_Company" \o "East India Company" </w:instrText>
      </w:r>
      <w:r>
        <w:fldChar w:fldCharType="separate"/>
      </w:r>
      <w:r>
        <w:rPr>
          <w:rStyle w:val="13"/>
          <w:color w:val="191919" w:themeColor="background1" w:themeShade="1A"/>
          <w:sz w:val="28"/>
          <w:szCs w:val="28"/>
          <w:u w:val="none"/>
          <w:lang w:val="en-US"/>
        </w:rPr>
        <w:t>East India Company</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was established in 1600.After the East India Company, came the </w:t>
      </w:r>
      <w:r>
        <w:fldChar w:fldCharType="begin"/>
      </w:r>
      <w:r>
        <w:instrText xml:space="preserve"> HYPERLINK "https://en.wikipedia.org/wiki/Dutch_East_India_Company" \o "Dutch East India Company" </w:instrText>
      </w:r>
      <w:r>
        <w:fldChar w:fldCharType="separate"/>
      </w:r>
      <w:r>
        <w:rPr>
          <w:rStyle w:val="13"/>
          <w:color w:val="191919" w:themeColor="background1" w:themeShade="1A"/>
          <w:sz w:val="28"/>
          <w:szCs w:val="28"/>
          <w:u w:val="none"/>
          <w:lang w:val="en-US"/>
        </w:rPr>
        <w:t>Dutch East India Company</w:t>
      </w:r>
      <w:r>
        <w:rPr>
          <w:rStyle w:val="13"/>
          <w:color w:val="191919" w:themeColor="background1" w:themeShade="1A"/>
          <w:sz w:val="28"/>
          <w:szCs w:val="28"/>
          <w:u w:val="none"/>
          <w:lang w:val="en-US"/>
        </w:rPr>
        <w:fldChar w:fldCharType="end"/>
      </w:r>
      <w:r>
        <w:rPr>
          <w:color w:val="191919" w:themeColor="background1" w:themeShade="1A"/>
          <w:sz w:val="28"/>
          <w:szCs w:val="28"/>
          <w:lang w:val="en-US"/>
        </w:rPr>
        <w:t>, founded March 20, 1602, which would become the largest company in the world for nearly 200 years.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main characteristics of multinational companies are:</w:t>
      </w:r>
    </w:p>
    <w:p>
      <w:pPr>
        <w:numPr>
          <w:ilvl w:val="0"/>
          <w:numId w:val="34"/>
        </w:numPr>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In general, there is a national strength of large companies as the main body, in the way of foreign direct investment or acquire local enterprises, established </w:t>
      </w:r>
      <w:r>
        <w:fldChar w:fldCharType="begin"/>
      </w:r>
      <w:r>
        <w:instrText xml:space="preserve"> HYPERLINK "https://en.wikipedia.org/wiki/Subsidiaries" \o "Subsidiaries" </w:instrText>
      </w:r>
      <w:r>
        <w:fldChar w:fldCharType="separate"/>
      </w:r>
      <w:r>
        <w:rPr>
          <w:rStyle w:val="13"/>
          <w:rFonts w:ascii="Times New Roman" w:hAnsi="Times New Roman" w:cs="Times New Roman"/>
          <w:color w:val="191919" w:themeColor="background1" w:themeShade="1A"/>
          <w:sz w:val="28"/>
          <w:szCs w:val="28"/>
          <w:u w:val="none"/>
          <w:lang w:val="en-US"/>
        </w:rPr>
        <w:t>subsidiaries</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xml:space="preserve"> or branches in many countries;</w:t>
      </w:r>
    </w:p>
    <w:p>
      <w:pPr>
        <w:numPr>
          <w:ilvl w:val="0"/>
          <w:numId w:val="34"/>
        </w:numPr>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It usually has a complete </w:t>
      </w:r>
      <w:r>
        <w:fldChar w:fldCharType="begin"/>
      </w:r>
      <w:r>
        <w:instrText xml:space="preserve"> HYPERLINK "https://en.wikipedia.org/wiki/Decision-making" \o "Decision-making" </w:instrText>
      </w:r>
      <w:r>
        <w:fldChar w:fldCharType="separate"/>
      </w:r>
      <w:r>
        <w:rPr>
          <w:rStyle w:val="13"/>
          <w:rFonts w:ascii="Times New Roman" w:hAnsi="Times New Roman" w:cs="Times New Roman"/>
          <w:color w:val="191919" w:themeColor="background1" w:themeShade="1A"/>
          <w:sz w:val="28"/>
          <w:szCs w:val="28"/>
          <w:u w:val="none"/>
          <w:lang w:val="en-US"/>
        </w:rPr>
        <w:t>decision-making</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xml:space="preserve"> system and the highest decision-making center, each subsidiary or branch has its own decision-making body, according to their different features and operations to make decisions, but its decision must be subordinated to the highest decision-making center;</w:t>
      </w:r>
    </w:p>
    <w:p>
      <w:pPr>
        <w:numPr>
          <w:ilvl w:val="0"/>
          <w:numId w:val="34"/>
        </w:numPr>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MNCs seek markets in worldwide and rational production layout, professional fixed-point production, fixed-point sales products, in order to achieve </w:t>
      </w:r>
      <w:r>
        <w:fldChar w:fldCharType="begin"/>
      </w:r>
      <w:r>
        <w:instrText xml:space="preserve"> HYPERLINK "https://en.wikipedia.org/wiki/Profit_maximization" \o "Profit maximization" </w:instrText>
      </w:r>
      <w:r>
        <w:fldChar w:fldCharType="separate"/>
      </w:r>
      <w:r>
        <w:rPr>
          <w:rStyle w:val="13"/>
          <w:rFonts w:ascii="Times New Roman" w:hAnsi="Times New Roman" w:cs="Times New Roman"/>
          <w:color w:val="191919" w:themeColor="background1" w:themeShade="1A"/>
          <w:sz w:val="28"/>
          <w:szCs w:val="28"/>
          <w:u w:val="none"/>
          <w:lang w:val="en-US"/>
        </w:rPr>
        <w:t>maximum profit</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w:t>
      </w:r>
    </w:p>
    <w:p>
      <w:pPr>
        <w:numPr>
          <w:ilvl w:val="0"/>
          <w:numId w:val="34"/>
        </w:numPr>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Due to strong economic and technical strength, with fast information transmission, as well as funding for rapid cross-border transfers, the multinational has stronger </w:t>
      </w:r>
      <w:r>
        <w:fldChar w:fldCharType="begin"/>
      </w:r>
      <w:r>
        <w:instrText xml:space="preserve"> HYPERLINK "https://en.wikipedia.org/wiki/Competition_(companies)" \o "Competition (companies)" </w:instrText>
      </w:r>
      <w:r>
        <w:fldChar w:fldCharType="separate"/>
      </w:r>
      <w:r>
        <w:rPr>
          <w:rStyle w:val="13"/>
          <w:rFonts w:ascii="Times New Roman" w:hAnsi="Times New Roman" w:cs="Times New Roman"/>
          <w:color w:val="191919" w:themeColor="background1" w:themeShade="1A"/>
          <w:sz w:val="28"/>
          <w:szCs w:val="28"/>
          <w:u w:val="none"/>
          <w:lang w:val="en-US"/>
        </w:rPr>
        <w:t>competitiveness</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xml:space="preserve"> in the world;</w:t>
      </w:r>
    </w:p>
    <w:p>
      <w:pPr>
        <w:numPr>
          <w:ilvl w:val="0"/>
          <w:numId w:val="34"/>
        </w:numPr>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Many large multinational companies have varying degrees of monopoly in some area, due to economic and technical strength or production advantages.</w:t>
      </w:r>
    </w:p>
    <w:p>
      <w:pPr>
        <w:pStyle w:val="3"/>
        <w:spacing w:before="0" w:line="240" w:lineRule="auto"/>
        <w:jc w:val="both"/>
        <w:rPr>
          <w:rFonts w:ascii="Times New Roman" w:hAnsi="Times New Roman" w:cs="Times New Roman"/>
          <w:b w:val="0"/>
          <w:bCs w:val="0"/>
          <w:color w:val="191919" w:themeColor="background1" w:themeShade="1A"/>
          <w:sz w:val="28"/>
          <w:szCs w:val="28"/>
          <w:lang w:val="en-US"/>
        </w:rPr>
      </w:pPr>
      <w:r>
        <w:rPr>
          <w:rStyle w:val="35"/>
          <w:rFonts w:ascii="Times New Roman" w:hAnsi="Times New Roman" w:cs="Times New Roman"/>
          <w:color w:val="191919" w:themeColor="background1" w:themeShade="1A"/>
          <w:sz w:val="28"/>
          <w:szCs w:val="28"/>
          <w:lang w:val="en-US"/>
        </w:rPr>
        <w:t>Legal domicile</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xml:space="preserve">Multinational corporations can select from a variety of jurisdictions for various subsidiaries, but the ultimate parent company can select a single </w:t>
      </w:r>
      <w:r>
        <w:fldChar w:fldCharType="begin"/>
      </w:r>
      <w:r>
        <w:instrText xml:space="preserve"> HYPERLINK "https://en.wikipedia.org/wiki/Domicile_(law)" \o "Domicile (law)" </w:instrText>
      </w:r>
      <w:r>
        <w:fldChar w:fldCharType="separate"/>
      </w:r>
      <w:r>
        <w:rPr>
          <w:rStyle w:val="13"/>
          <w:color w:val="191919" w:themeColor="background1" w:themeShade="1A"/>
          <w:sz w:val="28"/>
          <w:szCs w:val="28"/>
          <w:u w:val="none"/>
          <w:lang w:val="en-US"/>
        </w:rPr>
        <w:t>legal domicile</w:t>
      </w:r>
      <w:r>
        <w:rPr>
          <w:rStyle w:val="13"/>
          <w:color w:val="191919" w:themeColor="background1" w:themeShade="1A"/>
          <w:sz w:val="28"/>
          <w:szCs w:val="28"/>
          <w:u w:val="none"/>
          <w:lang w:val="en-US"/>
        </w:rPr>
        <w:fldChar w:fldCharType="end"/>
      </w:r>
      <w:r>
        <w:rPr>
          <w:color w:val="191919" w:themeColor="background1" w:themeShade="1A"/>
          <w:sz w:val="28"/>
          <w:szCs w:val="28"/>
          <w:lang w:val="en-US"/>
        </w:rPr>
        <w:t>; as of 2014, the Netherlands has been a popular choice, as it has fewer requirements for meetings, compensation, and audit committees.</w:t>
      </w:r>
      <w:r>
        <w:rPr>
          <w:color w:val="191919" w:themeColor="background1" w:themeShade="1A"/>
          <w:sz w:val="28"/>
          <w:szCs w:val="28"/>
          <w:vertAlign w:val="superscript"/>
          <w:lang w:val="en-US"/>
        </w:rPr>
        <w:t xml:space="preserve"> </w:t>
      </w:r>
      <w:r>
        <w:rPr>
          <w:color w:val="191919" w:themeColor="background1" w:themeShade="1A"/>
          <w:sz w:val="28"/>
          <w:szCs w:val="28"/>
          <w:lang w:val="en-US"/>
        </w:rPr>
        <w:t xml:space="preserve">As of 2014, </w:t>
      </w:r>
      <w:r>
        <w:fldChar w:fldCharType="begin"/>
      </w:r>
      <w:r>
        <w:instrText xml:space="preserve"> HYPERLINK "https://en.wikipedia.org/wiki/Great_Britain" \o "Great Britain" </w:instrText>
      </w:r>
      <w:r>
        <w:fldChar w:fldCharType="separate"/>
      </w:r>
      <w:r>
        <w:rPr>
          <w:rStyle w:val="13"/>
          <w:color w:val="191919" w:themeColor="background1" w:themeShade="1A"/>
          <w:sz w:val="28"/>
          <w:szCs w:val="28"/>
          <w:u w:val="none"/>
          <w:lang w:val="en-US"/>
        </w:rPr>
        <w:t>Great Britain</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had advantages due to laws on withholding dividends and a double-taxation treaty with the </w:t>
      </w:r>
      <w:r>
        <w:fldChar w:fldCharType="begin"/>
      </w:r>
      <w:r>
        <w:instrText xml:space="preserve"> HYPERLINK "https://en.wikipedia.org/wiki/United_States" \o "United States" </w:instrText>
      </w:r>
      <w:r>
        <w:fldChar w:fldCharType="separate"/>
      </w:r>
      <w:r>
        <w:rPr>
          <w:rStyle w:val="13"/>
          <w:color w:val="191919" w:themeColor="background1" w:themeShade="1A"/>
          <w:sz w:val="28"/>
          <w:szCs w:val="28"/>
          <w:u w:val="none"/>
          <w:lang w:val="en-US"/>
        </w:rPr>
        <w:t>United States</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xml:space="preserve">Corporations can legally engage in </w:t>
      </w:r>
      <w:r>
        <w:fldChar w:fldCharType="begin"/>
      </w:r>
      <w:r>
        <w:instrText xml:space="preserve"> HYPERLINK "https://en.wikipedia.org/wiki/Tax_avoidance" \o "Tax avoidance" </w:instrText>
      </w:r>
      <w:r>
        <w:fldChar w:fldCharType="separate"/>
      </w:r>
      <w:r>
        <w:rPr>
          <w:rStyle w:val="13"/>
          <w:color w:val="191919" w:themeColor="background1" w:themeShade="1A"/>
          <w:sz w:val="28"/>
          <w:szCs w:val="28"/>
          <w:u w:val="none"/>
          <w:lang w:val="en-US"/>
        </w:rPr>
        <w:t>tax avoidance</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through their jurisdiction, but must be careful to avoid illegal </w:t>
      </w:r>
      <w:r>
        <w:fldChar w:fldCharType="begin"/>
      </w:r>
      <w:r>
        <w:instrText xml:space="preserve"> HYPERLINK "https://en.wikipedia.org/wiki/Tax_evasion" \o "Tax evasion" </w:instrText>
      </w:r>
      <w:r>
        <w:fldChar w:fldCharType="separate"/>
      </w:r>
      <w:r>
        <w:rPr>
          <w:rStyle w:val="13"/>
          <w:color w:val="191919" w:themeColor="background1" w:themeShade="1A"/>
          <w:sz w:val="28"/>
          <w:szCs w:val="28"/>
          <w:u w:val="none"/>
          <w:lang w:val="en-US"/>
        </w:rPr>
        <w:t>tax evasion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w:t>
      </w:r>
    </w:p>
    <w:p>
      <w:pPr>
        <w:pStyle w:val="10"/>
        <w:spacing w:before="0" w:beforeAutospacing="0" w:after="0" w:afterAutospacing="0"/>
        <w:ind w:firstLine="567"/>
        <w:jc w:val="both"/>
        <w:rPr>
          <w:color w:val="191919" w:themeColor="background1" w:themeShade="1A"/>
          <w:sz w:val="28"/>
          <w:szCs w:val="28"/>
          <w:vertAlign w:val="superscript"/>
          <w:lang w:val="en-US"/>
        </w:rPr>
      </w:pPr>
      <w:r>
        <w:rPr>
          <w:color w:val="191919" w:themeColor="background1" w:themeShade="1A"/>
          <w:sz w:val="28"/>
          <w:szCs w:val="28"/>
          <w:lang w:val="en-US"/>
        </w:rPr>
        <w:t>Multinational corporations may be subject to the laws and regulations of both their domicile and the additional jurisdictions where they are engaged in business.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In some cases, the jurisdiction can help to avoid burdensome laws, but regulatory statutes often target the "enterprise" with statutory language around "control".</w:t>
      </w:r>
    </w:p>
    <w:p>
      <w:pPr>
        <w:pStyle w:val="3"/>
        <w:spacing w:before="0" w:line="240" w:lineRule="auto"/>
        <w:jc w:val="both"/>
        <w:rPr>
          <w:rFonts w:ascii="Times New Roman" w:hAnsi="Times New Roman" w:cs="Times New Roman"/>
          <w:b w:val="0"/>
          <w:bCs w:val="0"/>
          <w:color w:val="191919" w:themeColor="background1" w:themeShade="1A"/>
          <w:sz w:val="28"/>
          <w:szCs w:val="28"/>
          <w:lang w:val="en-US"/>
        </w:rPr>
      </w:pPr>
      <w:r>
        <w:rPr>
          <w:rStyle w:val="35"/>
          <w:rFonts w:ascii="Times New Roman" w:hAnsi="Times New Roman" w:cs="Times New Roman"/>
          <w:color w:val="191919" w:themeColor="background1" w:themeShade="1A"/>
          <w:sz w:val="28"/>
          <w:szCs w:val="28"/>
          <w:lang w:val="en-US"/>
        </w:rPr>
        <w:t>Alternatives and arrangements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 xml:space="preserve">For small corporations, registering a foreign subsidiary can be expensive and complex, involving fees, signatures, and forms; a </w:t>
      </w:r>
      <w:r>
        <w:fldChar w:fldCharType="begin"/>
      </w:r>
      <w:r>
        <w:instrText xml:space="preserve"> HYPERLINK "https://en.wikipedia.org/wiki/Professional_employer_organization" \o "Professional employer organization" </w:instrText>
      </w:r>
      <w:r>
        <w:fldChar w:fldCharType="separate"/>
      </w:r>
      <w:r>
        <w:rPr>
          <w:rStyle w:val="13"/>
          <w:color w:val="191919" w:themeColor="background1" w:themeShade="1A"/>
          <w:sz w:val="28"/>
          <w:szCs w:val="28"/>
          <w:u w:val="none"/>
          <w:lang w:val="en-US"/>
        </w:rPr>
        <w:t>professional employer organization</w:t>
      </w:r>
      <w:r>
        <w:rPr>
          <w:rStyle w:val="13"/>
          <w:color w:val="191919" w:themeColor="background1" w:themeShade="1A"/>
          <w:sz w:val="28"/>
          <w:szCs w:val="28"/>
          <w:u w:val="none"/>
          <w:lang w:val="en-US"/>
        </w:rPr>
        <w:fldChar w:fldCharType="end"/>
      </w:r>
      <w:r>
        <w:rPr>
          <w:color w:val="191919" w:themeColor="background1" w:themeShade="1A"/>
          <w:sz w:val="28"/>
          <w:szCs w:val="28"/>
          <w:lang w:val="en-US"/>
        </w:rPr>
        <w:t xml:space="preserve"> (PEO) is sometimes advertised as a cheaper and simpler alternative, but not all jurisdictions have laws accepting these types of arrangements.</w:t>
      </w:r>
    </w:p>
    <w:p>
      <w:pPr>
        <w:pStyle w:val="2"/>
        <w:jc w:val="both"/>
        <w:rPr>
          <w:rFonts w:ascii="Times New Roman" w:hAnsi="Times New Roman" w:cs="Times New Roman"/>
          <w:b/>
          <w:color w:val="191919" w:themeColor="background1" w:themeShade="1A"/>
          <w:sz w:val="28"/>
          <w:szCs w:val="28"/>
          <w:lang w:val="en-US"/>
        </w:rPr>
      </w:pPr>
      <w:r>
        <w:rPr>
          <w:rStyle w:val="33"/>
          <w:rFonts w:ascii="Times New Roman" w:hAnsi="Times New Roman" w:cs="Times New Roman"/>
          <w:b/>
          <w:color w:val="191919" w:themeColor="background1" w:themeShade="1A"/>
          <w:spacing w:val="-5"/>
          <w:sz w:val="28"/>
          <w:szCs w:val="28"/>
          <w:lang w:val="en-US"/>
        </w:rPr>
        <w:t>Biggest transnational companies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The gigant American conglomerate General Electric (GE) holds more assets abroad than any other non-financial firm in the world - over </w:t>
      </w:r>
      <w:r>
        <w:rPr>
          <w:rStyle w:val="34"/>
          <w:rFonts w:ascii="Times New Roman" w:hAnsi="Times New Roman" w:cs="Times New Roman"/>
          <w:color w:val="191919" w:themeColor="background1" w:themeShade="1A"/>
          <w:sz w:val="28"/>
          <w:szCs w:val="28"/>
          <w:lang w:val="en-US"/>
        </w:rPr>
        <w:t>$500 billion worth. Its foreign assets make up over 70% of its total. Of the 100 companies with the most foreign assets, 17 </w:t>
      </w:r>
      <w:r>
        <w:rPr>
          <w:rFonts w:ascii="Times New Roman" w:hAnsi="Times New Roman" w:cs="Times New Roman"/>
          <w:color w:val="191919" w:themeColor="background1" w:themeShade="1A"/>
          <w:sz w:val="28"/>
          <w:szCs w:val="28"/>
          <w:lang w:val="en-US"/>
        </w:rPr>
        <w:t xml:space="preserve">hold over 90% of their assets abroad, including ArcelorMittal, Nestlé, Anheuser-Busch InBev and Vodafone. Their share of foreign sales is also substantially larger than GE's. More than half of GE’s 300,000-strong workforce is based outside America; Toyota, which has slightly more employees, only has 38% of its 326,000 workers abroad. The Japanese carmaker is one of only two Asian firms to make it into the top 20 transnational companies by assets; Honda, another carmaker, ranks 19th. Three of the top five firms are oil companies. Exxon Mobil had the largest foreign sales last year at $317 billion, 73% of its total. Transnational firms benefited from the more favourable economic climates in emerging markets, and some developed markets, like America. According to the latest </w:t>
      </w:r>
      <w:r>
        <w:fldChar w:fldCharType="begin"/>
      </w:r>
      <w:r>
        <w:instrText xml:space="preserve"> HYPERLINK "http://unctad.org/en/Pages/DIAE/World%20Investment%20Report/WIR2012_WebFlyer.aspx" </w:instrText>
      </w:r>
      <w:r>
        <w:fldChar w:fldCharType="separate"/>
      </w:r>
      <w:r>
        <w:rPr>
          <w:rStyle w:val="13"/>
          <w:rFonts w:ascii="Times New Roman" w:hAnsi="Times New Roman" w:cs="Times New Roman"/>
          <w:color w:val="191919" w:themeColor="background1" w:themeShade="1A"/>
          <w:sz w:val="28"/>
          <w:szCs w:val="28"/>
          <w:u w:val="none"/>
          <w:lang w:val="en-US"/>
        </w:rPr>
        <w:t>World Investment Report</w:t>
      </w:r>
      <w:r>
        <w:rPr>
          <w:rStyle w:val="13"/>
          <w:rFonts w:ascii="Times New Roman" w:hAnsi="Times New Roman" w:cs="Times New Roman"/>
          <w:color w:val="191919" w:themeColor="background1" w:themeShade="1A"/>
          <w:sz w:val="28"/>
          <w:szCs w:val="28"/>
          <w:u w:val="none"/>
          <w:lang w:val="en-US"/>
        </w:rPr>
        <w:fldChar w:fldCharType="end"/>
      </w:r>
      <w:r>
        <w:rPr>
          <w:rFonts w:ascii="Times New Roman" w:hAnsi="Times New Roman" w:cs="Times New Roman"/>
          <w:color w:val="191919" w:themeColor="background1" w:themeShade="1A"/>
          <w:sz w:val="28"/>
          <w:szCs w:val="28"/>
          <w:lang w:val="en-US"/>
        </w:rPr>
        <w:t> from the UN Conference on Trade and Development (UNCTAD), production by foreign affiliates increased in 2011: sales rose by 9% to $28 trillion; employment rose by 8% to 69m; and total assets rose from around $75 trillion in the previous two years to $82 trillion. Thanks mainly to economic uncertainty, UNCTAD reckons transnational companies are hoarding some $5 trillion in cash. This could lead to a surge in foreign direct investment. Though firms might instead opt for liquidity, or to pay off debts or pay out dividends to maintain share prices.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eastAsia="ru-RU"/>
        </w:rPr>
        <w:drawing>
          <wp:inline distT="0" distB="0" distL="0" distR="0">
            <wp:extent cx="5662930" cy="4094480"/>
            <wp:effectExtent l="19050" t="0" r="0" b="0"/>
            <wp:docPr id="12" name="Рисунок 1" descr="https://cdn.static-economist.com/sites/default/files/images/2012/07/blogs/graphic-detail/20120714_woc582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 descr="https://cdn.static-economist.com/sites/default/files/images/2012/07/blogs/graphic-detail/20120714_woc582_5.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667375" cy="4097788"/>
                    </a:xfrm>
                    <a:prstGeom prst="rect">
                      <a:avLst/>
                    </a:prstGeom>
                    <a:noFill/>
                    <a:ln>
                      <a:noFill/>
                    </a:ln>
                  </pic:spPr>
                </pic:pic>
              </a:graphicData>
            </a:graphic>
          </wp:inline>
        </w:drawing>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explain the International Capital Flows?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tell about the main theories of transnational companies?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tell about the history of TNC development?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explain the main trends in TNC activity?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explain the Outsourcing?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explain the Costs. And the Globalization and low-wage labor 309? </w:t>
      </w:r>
    </w:p>
    <w:p>
      <w:pPr>
        <w:pStyle w:val="19"/>
        <w:jc w:val="both"/>
        <w:rPr>
          <w:color w:val="191919" w:themeColor="background1" w:themeShade="1A"/>
          <w:sz w:val="28"/>
          <w:szCs w:val="28"/>
          <w:lang w:val="en-US"/>
        </w:rPr>
      </w:pPr>
      <w:r>
        <w:rPr>
          <w:color w:val="191919" w:themeColor="background1" w:themeShade="1A"/>
          <w:sz w:val="28"/>
          <w:szCs w:val="28"/>
          <w:lang w:val="en-US"/>
        </w:rPr>
        <w:t>Can you explain the Offshoring?</w:t>
      </w: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References:</w:t>
      </w:r>
    </w:p>
    <w:p>
      <w:pPr>
        <w:numPr>
          <w:ilvl w:val="0"/>
          <w:numId w:val="35"/>
        </w:numPr>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iCs/>
          <w:color w:val="191919" w:themeColor="background1" w:themeShade="1A"/>
          <w:sz w:val="28"/>
          <w:szCs w:val="28"/>
          <w:lang w:val="en-US" w:eastAsia="ru-RU"/>
        </w:rPr>
        <w:t>Phelan, Ben (7 Jan 2017). </w:t>
      </w:r>
      <w:r>
        <w:fldChar w:fldCharType="begin"/>
      </w:r>
      <w:r>
        <w:instrText xml:space="preserve"> HYPERLINK "http://www.pbs.org/wgbh/roadshow/fts/corpuschristi_201205A19.html" </w:instrText>
      </w:r>
      <w:r>
        <w:fldChar w:fldCharType="separate"/>
      </w:r>
      <w:r>
        <w:rPr>
          <w:rFonts w:ascii="Times New Roman" w:hAnsi="Times New Roman" w:eastAsia="Times New Roman" w:cs="Times New Roman"/>
          <w:iCs/>
          <w:color w:val="191919" w:themeColor="background1" w:themeShade="1A"/>
          <w:sz w:val="28"/>
          <w:szCs w:val="28"/>
          <w:lang w:val="en-US" w:eastAsia="ru-RU"/>
        </w:rPr>
        <w:t>"Dutch East India Company: The World's First Multinational"</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xml:space="preserve">. </w:t>
      </w:r>
      <w:r>
        <w:fldChar w:fldCharType="begin"/>
      </w:r>
      <w:r>
        <w:instrText xml:space="preserve"> HYPERLINK "https://en.wikipedia.org/wiki/PBS.org" \o "PBS.org" </w:instrText>
      </w:r>
      <w:r>
        <w:fldChar w:fldCharType="separate"/>
      </w:r>
      <w:r>
        <w:rPr>
          <w:rFonts w:ascii="Times New Roman" w:hAnsi="Times New Roman" w:eastAsia="Times New Roman" w:cs="Times New Roman"/>
          <w:iCs/>
          <w:color w:val="191919" w:themeColor="background1" w:themeShade="1A"/>
          <w:sz w:val="28"/>
          <w:szCs w:val="28"/>
          <w:lang w:eastAsia="ru-RU"/>
        </w:rPr>
        <w:t>PBS.org</w:t>
      </w:r>
      <w:r>
        <w:rPr>
          <w:rFonts w:ascii="Times New Roman" w:hAnsi="Times New Roman" w:eastAsia="Times New Roman" w:cs="Times New Roman"/>
          <w:iCs/>
          <w:color w:val="191919" w:themeColor="background1" w:themeShade="1A"/>
          <w:sz w:val="28"/>
          <w:szCs w:val="28"/>
          <w:lang w:eastAsia="ru-RU"/>
        </w:rPr>
        <w:fldChar w:fldCharType="end"/>
      </w:r>
      <w:r>
        <w:rPr>
          <w:rFonts w:ascii="Times New Roman" w:hAnsi="Times New Roman" w:eastAsia="Times New Roman" w:cs="Times New Roman"/>
          <w:iCs/>
          <w:color w:val="191919" w:themeColor="background1" w:themeShade="1A"/>
          <w:sz w:val="28"/>
          <w:szCs w:val="28"/>
          <w:lang w:eastAsia="ru-RU"/>
        </w:rPr>
        <w:t>. Retrieved 8 August 2017.</w:t>
      </w:r>
    </w:p>
    <w:p>
      <w:pPr>
        <w:numPr>
          <w:ilvl w:val="0"/>
          <w:numId w:val="35"/>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iCs/>
          <w:color w:val="191919" w:themeColor="background1" w:themeShade="1A"/>
          <w:sz w:val="28"/>
          <w:szCs w:val="28"/>
          <w:lang w:val="en-US" w:eastAsia="ru-RU"/>
        </w:rPr>
        <w:t xml:space="preserve">Hagel, John; Brown, John Seely (12 March 2016). </w:t>
      </w:r>
      <w:r>
        <w:fldChar w:fldCharType="begin"/>
      </w:r>
      <w:r>
        <w:instrText xml:space="preserve"> HYPERLINK "https://www2.deloitte.com/insights/us/en/topics/innovation/institutional-innovation.html" </w:instrText>
      </w:r>
      <w:r>
        <w:fldChar w:fldCharType="separate"/>
      </w:r>
      <w:r>
        <w:rPr>
          <w:rFonts w:ascii="Times New Roman" w:hAnsi="Times New Roman" w:eastAsia="Times New Roman" w:cs="Times New Roman"/>
          <w:iCs/>
          <w:color w:val="191919" w:themeColor="background1" w:themeShade="1A"/>
          <w:sz w:val="28"/>
          <w:szCs w:val="28"/>
          <w:lang w:val="en-US" w:eastAsia="ru-RU"/>
        </w:rPr>
        <w:t>"Institutional Innovation: Creating Smarter Organizations"</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xml:space="preserve">. </w:t>
      </w:r>
      <w:r>
        <w:fldChar w:fldCharType="begin"/>
      </w:r>
      <w:r>
        <w:instrText xml:space="preserve"> HYPERLINK "https://en.wikipedia.org/wiki/Deloitte" \o "Deloitte" </w:instrText>
      </w:r>
      <w:r>
        <w:fldChar w:fldCharType="separate"/>
      </w:r>
      <w:r>
        <w:rPr>
          <w:rFonts w:ascii="Times New Roman" w:hAnsi="Times New Roman" w:eastAsia="Times New Roman" w:cs="Times New Roman"/>
          <w:iCs/>
          <w:color w:val="191919" w:themeColor="background1" w:themeShade="1A"/>
          <w:sz w:val="28"/>
          <w:szCs w:val="28"/>
          <w:lang w:val="en-US" w:eastAsia="ru-RU"/>
        </w:rPr>
        <w:t>Deloitte Insights</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w:t>
      </w:r>
    </w:p>
    <w:p>
      <w:pPr>
        <w:numPr>
          <w:ilvl w:val="0"/>
          <w:numId w:val="35"/>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iCs/>
          <w:color w:val="191919" w:themeColor="background1" w:themeShade="1A"/>
          <w:sz w:val="28"/>
          <w:szCs w:val="28"/>
          <w:lang w:val="en-US" w:eastAsia="ru-RU"/>
        </w:rPr>
        <w:t xml:space="preserve">Roberts, Keith (15 March 2016). </w:t>
      </w:r>
      <w:r>
        <w:fldChar w:fldCharType="begin"/>
      </w:r>
      <w:r>
        <w:instrText xml:space="preserve"> HYPERLINK "http://www.middlewisconsin.org/corporate-colonization-of-wisconsin-part-4/" </w:instrText>
      </w:r>
      <w:r>
        <w:fldChar w:fldCharType="separate"/>
      </w:r>
      <w:r>
        <w:rPr>
          <w:rFonts w:ascii="Times New Roman" w:hAnsi="Times New Roman" w:eastAsia="Times New Roman" w:cs="Times New Roman"/>
          <w:iCs/>
          <w:color w:val="191919" w:themeColor="background1" w:themeShade="1A"/>
          <w:sz w:val="28"/>
          <w:szCs w:val="28"/>
          <w:lang w:val="en-US" w:eastAsia="ru-RU"/>
        </w:rPr>
        <w:t>"Corporate Colonization of Wisconsin, Part IV - The Dutch East India Company and the Koch Wisconsin Company"</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MiddleWisconsin.org. Retrieved 25 May 2018.</w:t>
      </w:r>
    </w:p>
    <w:p>
      <w:pPr>
        <w:numPr>
          <w:ilvl w:val="0"/>
          <w:numId w:val="35"/>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iCs/>
          <w:color w:val="191919" w:themeColor="background1" w:themeShade="1A"/>
          <w:sz w:val="28"/>
          <w:szCs w:val="28"/>
          <w:lang w:val="en-US" w:eastAsia="ru-RU"/>
        </w:rPr>
        <w:t xml:space="preserve">Grenville, Stephen (3 November 2017). </w:t>
      </w:r>
      <w:r>
        <w:fldChar w:fldCharType="begin"/>
      </w:r>
      <w:r>
        <w:instrText xml:space="preserve"> HYPERLINK "https://www.lowyinstitute.org/the-interpreter/starting-point-first-global-supply-chain" </w:instrText>
      </w:r>
      <w:r>
        <w:fldChar w:fldCharType="separate"/>
      </w:r>
      <w:r>
        <w:rPr>
          <w:rFonts w:ascii="Times New Roman" w:hAnsi="Times New Roman" w:eastAsia="Times New Roman" w:cs="Times New Roman"/>
          <w:iCs/>
          <w:color w:val="191919" w:themeColor="background1" w:themeShade="1A"/>
          <w:sz w:val="28"/>
          <w:szCs w:val="28"/>
          <w:lang w:val="en-US" w:eastAsia="ru-RU"/>
        </w:rPr>
        <w:t>"The first global supply chain"</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xml:space="preserve">. </w:t>
      </w:r>
      <w:r>
        <w:fldChar w:fldCharType="begin"/>
      </w:r>
      <w:r>
        <w:instrText xml:space="preserve"> HYPERLINK "https://en.wikipedia.org/wiki/Lowy_Institute" \o "Lowy Institute" </w:instrText>
      </w:r>
      <w:r>
        <w:fldChar w:fldCharType="separate"/>
      </w:r>
      <w:r>
        <w:rPr>
          <w:rFonts w:ascii="Times New Roman" w:hAnsi="Times New Roman" w:eastAsia="Times New Roman" w:cs="Times New Roman"/>
          <w:iCs/>
          <w:color w:val="191919" w:themeColor="background1" w:themeShade="1A"/>
          <w:sz w:val="28"/>
          <w:szCs w:val="28"/>
          <w:lang w:eastAsia="ru-RU"/>
        </w:rPr>
        <w:t>Lowy Institute</w:t>
      </w:r>
      <w:r>
        <w:rPr>
          <w:rFonts w:ascii="Times New Roman" w:hAnsi="Times New Roman" w:eastAsia="Times New Roman" w:cs="Times New Roman"/>
          <w:iCs/>
          <w:color w:val="191919" w:themeColor="background1" w:themeShade="1A"/>
          <w:sz w:val="28"/>
          <w:szCs w:val="28"/>
          <w:lang w:eastAsia="ru-RU"/>
        </w:rPr>
        <w:fldChar w:fldCharType="end"/>
      </w:r>
      <w:r>
        <w:rPr>
          <w:rFonts w:ascii="Times New Roman" w:hAnsi="Times New Roman" w:eastAsia="Times New Roman" w:cs="Times New Roman"/>
          <w:iCs/>
          <w:color w:val="191919" w:themeColor="background1" w:themeShade="1A"/>
          <w:sz w:val="28"/>
          <w:szCs w:val="28"/>
          <w:lang w:eastAsia="ru-RU"/>
        </w:rPr>
        <w:t>. Retrieved 28 May 201</w:t>
      </w:r>
      <w:r>
        <w:rPr>
          <w:rFonts w:ascii="Times New Roman" w:hAnsi="Times New Roman" w:eastAsia="Times New Roman" w:cs="Times New Roman"/>
          <w:iCs/>
          <w:color w:val="191919" w:themeColor="background1" w:themeShade="1A"/>
          <w:sz w:val="28"/>
          <w:szCs w:val="28"/>
          <w:lang w:val="en-US" w:eastAsia="ru-RU"/>
        </w:rPr>
        <w:t>7</w:t>
      </w:r>
      <w:r>
        <w:rPr>
          <w:rFonts w:ascii="Times New Roman" w:hAnsi="Times New Roman" w:eastAsia="Times New Roman" w:cs="Times New Roman"/>
          <w:iCs/>
          <w:color w:val="191919" w:themeColor="background1" w:themeShade="1A"/>
          <w:sz w:val="28"/>
          <w:szCs w:val="28"/>
          <w:lang w:eastAsia="ru-RU"/>
        </w:rPr>
        <w:t>.</w:t>
      </w:r>
    </w:p>
    <w:p>
      <w:pPr>
        <w:shd w:val="clear" w:color="auto" w:fill="FFFFFF"/>
        <w:spacing w:after="0" w:line="240" w:lineRule="auto"/>
        <w:ind w:firstLine="567"/>
        <w:jc w:val="both"/>
        <w:rPr>
          <w:rFonts w:ascii="Times New Roman" w:hAnsi="Times New Roman" w:cs="Times New Roman"/>
          <w:color w:val="191919" w:themeColor="background1" w:themeShade="1A"/>
          <w:sz w:val="28"/>
          <w:szCs w:val="28"/>
          <w:lang w:val="en-US"/>
        </w:rPr>
      </w:pPr>
    </w:p>
    <w:p>
      <w:pPr>
        <w:rPr>
          <w:color w:val="191919" w:themeColor="background1" w:themeShade="1A"/>
        </w:rPr>
      </w:pPr>
    </w:p>
    <w:p>
      <w:pPr>
        <w:pStyle w:val="19"/>
        <w:jc w:val="both"/>
        <w:rPr>
          <w:color w:val="191919" w:themeColor="background1" w:themeShade="1A"/>
          <w:sz w:val="28"/>
          <w:szCs w:val="28"/>
          <w:lang w:val="en-US"/>
        </w:rPr>
      </w:pPr>
      <w:r>
        <w:rPr>
          <w:b/>
          <w:color w:val="191919" w:themeColor="background1" w:themeShade="1A"/>
          <w:sz w:val="28"/>
          <w:szCs w:val="28"/>
          <w:lang w:val="en-US"/>
        </w:rPr>
        <w:t xml:space="preserve">Subject 10. </w:t>
      </w:r>
      <w:r>
        <w:rPr>
          <w:b/>
          <w:bCs/>
          <w:color w:val="191919" w:themeColor="background1" w:themeShade="1A"/>
          <w:sz w:val="28"/>
          <w:szCs w:val="28"/>
          <w:lang w:val="en-US"/>
        </w:rPr>
        <w:t xml:space="preserve">Preferential Trade Arrangements and Economic Integration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Trade creation vs trade diversion.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Theories of economic integration.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Global trade negotiations: GATT, WTO, Doha round. </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cs="Times New Roman"/>
          <w:color w:val="191919" w:themeColor="background1" w:themeShade="1A"/>
          <w:sz w:val="28"/>
          <w:szCs w:val="28"/>
          <w:lang w:val="en-US"/>
        </w:rPr>
        <w:t>Mega trade deals.</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Preferential trade agreements (PTAs) reduce or eliminate policy-imposed barriers to the </w:t>
      </w:r>
      <w:r>
        <w:rPr>
          <w:rFonts w:ascii="Times New Roman" w:hAnsi="Times New Roman" w:cs="Times New Roman"/>
          <w:color w:val="191919" w:themeColor="background1" w:themeShade="1A"/>
          <w:sz w:val="28"/>
          <w:szCs w:val="28"/>
        </w:rPr>
        <w:t>ﬂ</w:t>
      </w:r>
      <w:r>
        <w:rPr>
          <w:rFonts w:ascii="Times New Roman" w:hAnsi="Times New Roman" w:cs="Times New Roman"/>
          <w:color w:val="191919" w:themeColor="background1" w:themeShade="1A"/>
          <w:sz w:val="28"/>
          <w:szCs w:val="28"/>
          <w:lang w:val="en-US"/>
        </w:rPr>
        <w:t>ow of goods, services, capital, labour etc. (Baier et al. 2008). It is possible to view PTAs from three separate perspectives: economics, politics and commitment or credibility (Bagwell and Staiger 2002). Economics explains PTAs as restricting the setting of unilateral trade policy, which can affect the welfare of other nations. The political perspective views PTAs as limiting the distributional issues of trade policy choices by government. The commitment perspective explains PTAs in the context of increasing the credibility of government actions. All of these perspectives have a similar objective: to maximise national welfare, subject to different constraints. The WTO, formerly the GATT, has the principal economic objective of solving the central problem of the terms of trade externalities that arise when countries make trade policy decisions unilaterally. In so doing, the WTO applies rules that have the principles of reciprocity and non-discrimination as their cornerstone. The main objective of this section is to provide a brief review of the theory and framework of PTAs. It examines the de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nition of PTAs, the GATT/WTO rules with respect to PTAs, the different stages of economic integration agreements and the composition of major economic integration agreements.</w:t>
      </w:r>
    </w:p>
    <w:p>
      <w:pPr>
        <w:spacing w:after="0" w:line="240" w:lineRule="auto"/>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PTAs and Regional Trade Agreements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Trade liberalization can take several forms. The simplest path to liberalization is for a nation to cut tariffs unilaterally but, more usually, nations lower their import barriers at the same time as their trade partners. Such liberalization can be in the form of a multilateral agreement – such as the various GATT/WTO Rounds – or an agreement among a smaller subset of nations.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de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ning characteristic of a PTA is that lower tariffs are imposed on goods produced in the Member countries than on those produced outside (Panagariya 2000). This subset of nations often has some geographical proximity such that is usually referred to as a regional trade agreement (RTA). Nearly all PTAs are regional treaties between nations to reduce or eliminate policy-imposed trade barriers. Formal RTAs may cover a spectrum of arrangements, from small margins of tariff preference to full scale economic integration. All PTAs or RTAs fall within the scope of GATT 1994 Article XXIV. This Article exempts Member states from the Most-Favoured Nation (MFN) principle by treating mutual imports preferentially through the formation of a PTA. The WTO permits three types of PTA:</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Custom unions and free trade agreements sanctioned under Article XXIV. • Agreements between developing states formed under the Enabling Clause that allows partial preferential treatment. • Agreements under the Generalised System of Preferences (GSP) that allow developed states to grant preferential treatment to developing states.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Nations that are geographically proximate should be encouraged to form PTAs while those that are more distant should be discouraged. This argument has two elements. First, trade blocs are more likely to create trade and thus raise welfare, given a country’s volume of international trade; the higher is the proportion of trade with the country’s trade bloc partners and the lower is this proportion with the nonmember countries. Second, countries that share borders or are closer geographically to one another tend to have a higher proportion of trade with one another than those countries that are further apart and so are more likely to be trade creating as opposed to trade diverting. Bhagwati argues that the </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rst argument is not valid unless substitution between commodities is considered (Bhagwati 1993). Lipsey focuses on the relative volume of imports from each source vis-a `-vis expenditure on domestic goods as the decisive factor in determining the size of gains and losses from preferential cuts in trade barriers (Lipsey 1958). It is therefore important to look at the estimates of substitution elasticities among goods as well as trade shares with and between members and non-members. A prime criticism of the second argument is that borders can breed hostility and may undermine trade, just as alliances among distant countries with a shared cause can promote trade (Gowa and Mans</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eld 1994). With respect to the formation of customs unions (CUs) or free trade areas (FTAs), El-Agraa (1994) attributes the principal potential sources for economic gain from economic integration as being:</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Enhanced ef</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 xml:space="preserve">ciency in production made possible by increased specialisation.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Increased production levels due to better exploitation of economies of scale made possible by the increased size of the market. • An improved international bargaining position, made possible by the larger size, leading to better terms of trade.</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The Theory of Trade Agreements, Economic Integration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Enforced changes in ef</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ciency brought about by intensi</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 xml:space="preserve">ed competition between </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 xml:space="preserve">rms.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Changes affecting both the amount and quality of the factors of production due to technological advances.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Proceeding to a common market leads to further sources of gain as a result of:</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Factor mobility across the borders of member states.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Establishing an economic union also results in: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The co-ordination of monetary and </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scal policies.</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In the presence of scale economies or imperfect competition, there can be important welfare implications of forming a preferential trade area. An industry can capitalize on scale economies more easily in the larger market of a preference area. Within a larger market, </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rms rationalize production, produce larger output runs and effectively lower their average costs simply because a larger market without protective trade barriers is available. The formation of preferential trade areas is generally welfare-improving when extensive imperfect competition is present in the initially protected economy. An imperfectly competitive domestic sector is forced to compete with imports such that freer trade leads to both gains from trade and increased competition and ef</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ciency. These competitive effects relate to potential changes in production costs, reduced pro</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t margins, the introduction of new products, increased competitive pressure on domestic producers and changes in the parameters underlying strategic decisions. The interaction of these effects with trade and trade policy can be quite complex although the minimum conditions for welfare gains are generally linked to changes in industry output.</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The GATT and the WTO</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‘If the world trading system has a constitution, it is embodied in the Articles of the General Agreement on Tariffs and Trade (GATT) and its successor organisation, the World Trade Organization (WTO)’ (Bagwell and Staiger 2002). PTAs are international trade policy agreements and are therefore governed by the GATT rules. The WTO was established on 1 January 1995. The WTO Agreements include the text of the GATT 1994, as well a set of additional agreements. Its goal is to reduce barriers to trade among its Members: ‘it is an organisation for liberalising trade’ (WTO web-site). This has been clear in successive GATT Rounds, which have aimed at multilateral reductions in trade barriers. There are currently 153 WTO Members, the latest being Cape Verde joining in July 2008. The majority of Members are participants in RTAs; according to the WTO, there are close to 400 PTAs that are scheduled to be implemented by 2010. Of these, FTAs and partial scope agreements account for over 90 % while CUs account for less than 10 %. Prior to 1995, there were 124 RTAs in force.</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 xml:space="preserve">Preferential Trade Agreements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Among the best known RTAs are the EU, EFTA, CISFTA, NAFTA, MERCOSUR, ASEAN and COMESA; synopsis of each are given in Chapter 8, Sect. 8.1. The signing of the WTO Agreements in 1995 reasserted a strong integrationist focus in trade matters as Members of the new organisation henceforward were compelled to accept all of the wide ranging international arrangements. Members are no longer able to ‘cherry-pick’ those arrangements that suit their own interest while ignoring those that are less bene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 xml:space="preserve">cial (Phillips 2007). Prior to the theory of ‘second best’, it was an accepted economic assumption that any PTA was welfare improving. The rationale was that, since free trade maximises world welfare and preferential trade represents a move towards free trade, PTAs therefore increase welfare, although they do not maximise it. This rationale lies behind the guidelines of the original GATT 1947 Article XXIV, which permits the formation of PTAs – CUs and FTAs – as an exception to the rule against international discrimination. The centrepiece of the GATT rules is the Most Favoured Nation (MFN) principle, Article I. According to MFN, each WTO Member grants all WTO Members the same advantage, privilege, favour, or immunity that it grants to any other state. A key implication of this provision is that WTO Member states cannot discriminate in their tariff policy between Members. The MFN principle is designed to prevent the development of bilateral preferential trade treatment under which the pattern of trade could become distorted and less than optimal. Under the MFN principle, when a Member extends trade concessions to one partner, it must extend them to all such that it is therefore a principle of non-discrimination.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The only exception is the variation of MFN through the creation of a PTA under certain circumstances; for instance, if ‘almost all’ trade among the parties to the agreement is covered. There exist three separate provisions for trade preferences within the GATT/ WTO framework. First, developed countries can grant developing states nonreciprocal trade preferences. Second, developing countries can exchange any trade preferences to which they agree. Finally, under Article XXIV, any two or more members of the WTO can form a PTA. GATT Article XXIV offers the only avenue to PTAs in which developed states are recipients of trade preferences. Article XXIV states that a group of two or more customs territories may form a trade bloc by reducing barriers among themselves, subject to several requirements. The </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rst requirement is that ‘substantially all’ barriers among the Members are removed. According to Frankel (1997), ‘substantially all’ is interpreted both as liberalisation covering a high percentage of total trade – 80 % in the case of the formation of the EU in 1957 – and occurring in most major sectors, as in the formation of EFTA in 1960 (GATT 1994, pp. 738, 766–768). The second requirement is that trade barriers against non-members are not made more restrictive than before. When Members enter a PTA with different tariffs against non-members, the new external tariffs must be no more than the weighted average of the preintegration tariffs. If the net effect is to raise barriers in some sectors, affected non-members may claim compensation. Finally, progress toward economic integration is supposed to be expeditious, normally not to exceed 10 years (as de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ned in the Uruguay Round negotiations in 1994).</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The Theory of Trade Agreements, Economic Integration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Traditional economic theory asks two questions relating to trade liberalization and the formation of a preferential trade agreement (PTA) – whether a free trade area (FTA) or a customs union (CU) – what is the welfare impact on each member country, the bloc as a whole and the rest of the world?; and can two or more countries form a trade bloc such that it makes the rest of the world worse off? These two questions remain as valid today as 60 years ago. The </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 xml:space="preserve">rst question is investigated by Viner (1950), who introduced the concepts of trade creation and trade diversion. Meade (1955) provides the </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rst welfare theoretic analysis of trade blocs in a general equilibrium model, which focuses on the latter question. Meade’s model has since been extended to answer both questions by signi</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cant contributions from Lipsey (1958), Mundell (1964), Vanek (1965), Corden (1976) and McMillan and McCann (1981). Of these contributions, only Viner and Vanek explicitly distinguish trade blocs as CUs involving internal free trade and a common external tariff. Almost all other contributors use the term custom union more loosely, involving internal free trade but members retaining their original tariff levels against non-members. With this in mind, the term trade bloc is used synonymously for custom unions and free trade areas. A trade bloc is de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ned as an agreement between nations to eliminate trade policy barriers on goods among participating states. The main objective of this section is to discuss the theory of economic integration and to provide a theoretical background to the empirical analysis undertaken. It examines the de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 xml:space="preserve">nition of economic integration, discusses traditional welfare analysis and general equilibrium analysis and establishes a trade </w:t>
      </w:r>
      <w:r>
        <w:rPr>
          <w:rFonts w:ascii="Times New Roman" w:hAnsi="Times New Roman" w:cs="Times New Roman"/>
          <w:color w:val="191919" w:themeColor="background1" w:themeShade="1A"/>
          <w:sz w:val="28"/>
          <w:szCs w:val="28"/>
        </w:rPr>
        <w:t>ﬂ</w:t>
      </w:r>
      <w:r>
        <w:rPr>
          <w:rFonts w:ascii="Times New Roman" w:hAnsi="Times New Roman" w:cs="Times New Roman"/>
          <w:color w:val="191919" w:themeColor="background1" w:themeShade="1A"/>
          <w:sz w:val="28"/>
          <w:szCs w:val="28"/>
          <w:lang w:val="en-US"/>
        </w:rPr>
        <w:t>ow measure for theoretical measurement of welfare and comparison.</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De</w:t>
      </w:r>
      <w:r>
        <w:rPr>
          <w:rFonts w:ascii="Times New Roman" w:hAnsi="Times New Roman" w:cs="Times New Roman"/>
          <w:i/>
          <w:color w:val="191919" w:themeColor="background1" w:themeShade="1A"/>
          <w:sz w:val="28"/>
          <w:szCs w:val="28"/>
        </w:rPr>
        <w:t>ﬁ</w:t>
      </w:r>
      <w:r>
        <w:rPr>
          <w:rFonts w:ascii="Times New Roman" w:hAnsi="Times New Roman" w:cs="Times New Roman"/>
          <w:i/>
          <w:color w:val="191919" w:themeColor="background1" w:themeShade="1A"/>
          <w:sz w:val="28"/>
          <w:szCs w:val="28"/>
          <w:lang w:val="en-US"/>
        </w:rPr>
        <w:t>ning Economic Integration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There is no clear-cut de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nition of economic integration in the international trade literature. Its objective is clear; it is a means to increase welfare. Its vague de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nition however, implies that there is no general agreement regarding the method to achieve this goal. Balassa (1962) de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nes economic integration as both a process and a state of affairs. Integration is a process in that involves the removal of trade discrimination between different states, while it is a state of affairs to the extent that it is the absence of different forms of discrimination. Robson (1987) refers to economic integration as being basically concerned with ef</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ciency in resource use, with particular reference to spatial aspects. The necessary conditions for its fullest attainment include the freedom of movement of goods and factors of production and an absence of discrimination amongst members. In addition, where resources are allocated by the price mechanism, measures are required to ensure that the market provides the right signals and institutions are required to give effect to the integrating force of the market.</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 xml:space="preserve">The Theory of Economic Integration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Molle (1990) takes economic integration to indicate the gradual elimination of economic frontiers between countries. In the </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 xml:space="preserve">rst stage, trade among partners is liberalised. This is followed by the liberalization of movement of production factors. The objective of the third stage is the co-ordination of national policies with regard to economic sectors, possibly including exchange rates. El-Agraa (1994) refers to economic integration as the discriminatory removal of all trade impediments between participating nations and the establishment of certain elements of co-operation and co-ordination between them. Pelkmans (2006) follows Molle in viewing economic integration as the elimination of economic frontiers between two or more economies. An economic frontier is any demarcation over which actual and potential mobility of goods, services and production factors, as well as communication </w:t>
      </w:r>
      <w:r>
        <w:rPr>
          <w:rFonts w:ascii="Times New Roman" w:hAnsi="Times New Roman" w:cs="Times New Roman"/>
          <w:color w:val="191919" w:themeColor="background1" w:themeShade="1A"/>
          <w:sz w:val="28"/>
          <w:szCs w:val="28"/>
        </w:rPr>
        <w:t>ﬂ</w:t>
      </w:r>
      <w:r>
        <w:rPr>
          <w:rFonts w:ascii="Times New Roman" w:hAnsi="Times New Roman" w:cs="Times New Roman"/>
          <w:color w:val="191919" w:themeColor="background1" w:themeShade="1A"/>
          <w:sz w:val="28"/>
          <w:szCs w:val="28"/>
          <w:lang w:val="en-US"/>
        </w:rPr>
        <w:t>ows, are relatively low. This book de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nes international economic integration as a process of eliminating trade cost such that it is a means to reduce trade costs to increase welfare. As a process, it is evolving and continuing with changes in markets.</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The Traditional Welfare Analysis of Economic Integration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Until Viner’s penetrating analysis in 1950, both free traders and protectionists argued in favour of trade blocs. The former saw only the bene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ts of free intrabloc trade while the latter emphasised the bene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ts of protection from non-members’ goods. Viner’s introduction of the key concepts of trade creation and trade diversion however, demonstrated that trade blocs were not necessarily welfare improving, whether for Member states or globally, such that trade blocs might harm welfare. Viner associates trade creation with a welfare gain and trade diversion with a welfare loss. Whether or not a trade bloc is welfare increasing depends upon the relative magnitudes of trade creation and trade diversion. Trade creation is the replacement of domestic production by lower cost imports from a partner and trade diversion is the replacement of lower cost cheaper imports from the world market by more expensive imports from a partner. Viner stresses that trade creation is bene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cial, since it does not affect the rest of the world, while trade diversion is harmful. It is therefore the relative strength of these two effects that determines whether or not a trade bloc is welfare enhancing or not (Viner 1950). Bhagwati and Panagariya (1996) point out that conventional trade creation and trade diversion are not the entire story in deciding on the welfare outcome for an individual member of a trade bloc. Even if trade creation is larger than trade diversion, so that the bloc as a whole bene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ts, an individual member could lose on account of adverse income distribution effects arising from tariff revenue redistribution. This implies that, when an economy with a high degree of protection forms a trade bloc with an economy with relatively open markets, the former may well be faced with a net welfare loss. Trade diversion can also, under certain circumstances, be bene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cial; for example, if a member country introduces imports</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The Theory of Trade Agreements, Economic Integration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domestic market that reduce distortions in consumers’ patterns of consumption (Meade 1955; Gehrels 1956–1957; Lipsey 1957). Further, if economies of scale are present that allow production at a lower cost (Corden 1972; Venables 1987) or when new competition reduces the market power of inef</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cient domestic monopolies.</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The General Equilibrium Analysis of Economic Integration</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Trade costs became a major factor in the welfare analysis of the effect of trade blocs on world welfare only after Meade’s in</w:t>
      </w:r>
      <w:r>
        <w:rPr>
          <w:rFonts w:ascii="Times New Roman" w:hAnsi="Times New Roman" w:cs="Times New Roman"/>
          <w:color w:val="191919" w:themeColor="background1" w:themeShade="1A"/>
          <w:sz w:val="28"/>
          <w:szCs w:val="28"/>
        </w:rPr>
        <w:t>ﬂ</w:t>
      </w:r>
      <w:r>
        <w:rPr>
          <w:rFonts w:ascii="Times New Roman" w:hAnsi="Times New Roman" w:cs="Times New Roman"/>
          <w:color w:val="191919" w:themeColor="background1" w:themeShade="1A"/>
          <w:sz w:val="28"/>
          <w:szCs w:val="28"/>
          <w:lang w:val="en-US"/>
        </w:rPr>
        <w:t>uential general equilibrium analysis (Meade 1955). Meade points out that the relative magnitudes of trade creation and trade diversion alone are insuf</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cient to determine the welfare effect of a bloc on world welfare because the bene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ts of preferential liberalisation depend not only upon the extent of trade creation but also on trade costs. Similarly, losses are determined not just by the amount of trade diversion but also the magnitude of the increase in costs due to trade diversion (Meade 1955).</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The Theory of Second Best</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The general theorem of the second best states that if a constraint is introduced into a general equilibrium setting which prevents the attainment of one of the Pareto conditions, other Pareto conditions, although still attainable are in general, no longer desirable (Lipsey and Lancaster 1956–1957). Adam Smith and David Ricardo view free trade and the unimpeded movement of factors as the </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rst best policy in a world which does not have any distortions. Attainment of the Pareto optimum requires the simultaneous ful</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 xml:space="preserve">lment of all optimum conditions. An allocation of resources is said to be Pareto optimal if there does not exist another feasible allocation in which some agents would be better off (in a welfare sense) and no agents worse off. Pareto optimality is achieved exclusively under free trade such that other cases where there are distortions – e.g. tariffs, subsidies, taxes, monopolies etc. – are sub-optimal. Before the theory of second best, trade blocs were considered to be a move closer to free trade and therefore welfare increasing.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The theorem of second best addresses this by stating that, in the presence of distortions, if all the conditions for Pareto optimality cannot be satis</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ed, then the removal of some of the distortions does not necessarily increase welfare, nor does the addition of other distortions necessarily decrease it. One sub-optimal situation is therefore replaced by another sub-optimal situation. Welfare may remain unaffected, increased or decreased. In a system with several distortions, the removal of any single distortion cannot be presumed to be welfare improving. In other words, if an economy is prevented from attaining all the conditions for maximum welfare simultaneously, the ful</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lment of one of these</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 xml:space="preserve">The General Equilibrium Analysis of Economic Integration </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conditions will not necessarily make the economy better off. This is the general theorem of second best. From this theorem, welfare comparisons between economic states are ambiguous when some Pareto optimum conditions are met while others are not. Welfare comparisons need to be done so that no one is left worse off.</w:t>
      </w:r>
    </w:p>
    <w:p>
      <w:pPr>
        <w:spacing w:after="0" w:line="240" w:lineRule="auto"/>
        <w:jc w:val="both"/>
        <w:rPr>
          <w:rFonts w:ascii="Times New Roman" w:hAnsi="Times New Roman" w:cs="Times New Roman"/>
          <w:i/>
          <w:color w:val="191919" w:themeColor="background1" w:themeShade="1A"/>
          <w:sz w:val="28"/>
          <w:szCs w:val="28"/>
          <w:lang w:val="en-US"/>
        </w:rPr>
      </w:pPr>
      <w:r>
        <w:rPr>
          <w:rFonts w:ascii="Times New Roman" w:hAnsi="Times New Roman" w:cs="Times New Roman"/>
          <w:i/>
          <w:color w:val="191919" w:themeColor="background1" w:themeShade="1A"/>
          <w:sz w:val="28"/>
          <w:szCs w:val="28"/>
          <w:lang w:val="en-US"/>
        </w:rPr>
        <w:t>The Transfer Payment Principle</w:t>
      </w:r>
    </w:p>
    <w:p>
      <w:pPr>
        <w:spacing w:after="0" w:line="240" w:lineRule="auto"/>
        <w:ind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Meade’s model is concerned with world welfare; if lump sum transfers could be deployed, it would be possible to trace out the entire Pareto ef</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 xml:space="preserve">cient frontier for all the consumers in the world. This is not realistic; it needs lump sum transfers at an international level. The </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rst step towards realism is to use lump sum transfer within a single economy as a method to evaluate the desirability of two economic situations. Following Ohyama (1972), a government has the ability to tax the gainers and transfer income to the losers, i.e. without changing their behaviour in the process. Lump sum transfers are assumed to be non-distorting. The analysis makes use of the traditional terms of trade de</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 xml:space="preserve">nition of a small economy with a perfectly competitive market structure and constant returns to scale. There are n commodities, some of which are </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nal goods and some of which are intermediate goods; N denotes the vector1 of commodities and P denotes the vector of domestic prices. The economy consists of agents, the role of each of them being to choose a complete plan of action. Each agent is characterised by the limitations on their choice and by their choice criteria. There are three distinct classes of economic agents in the economy, producers, consumers and the government. A producer is supposed to carry out a production plan which is a speci</w:t>
      </w:r>
      <w:r>
        <w:rPr>
          <w:rFonts w:ascii="Times New Roman" w:hAnsi="Times New Roman" w:cs="Times New Roman"/>
          <w:color w:val="191919" w:themeColor="background1" w:themeShade="1A"/>
          <w:sz w:val="28"/>
          <w:szCs w:val="28"/>
        </w:rPr>
        <w:t>ﬁ</w:t>
      </w:r>
      <w:r>
        <w:rPr>
          <w:rFonts w:ascii="Times New Roman" w:hAnsi="Times New Roman" w:cs="Times New Roman"/>
          <w:color w:val="191919" w:themeColor="background1" w:themeShade="1A"/>
          <w:sz w:val="28"/>
          <w:szCs w:val="28"/>
          <w:lang w:val="en-US"/>
        </w:rPr>
        <w:t xml:space="preserve">cation of the quantities of their inputs and outputs. </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center"/>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Questions:</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tell about the Trade creation vs trade diversion?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describe the theories of economic integration?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describe the Global trade negotiations: GATT, WTO, Doha round. </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cs="Times New Roman"/>
          <w:color w:val="191919" w:themeColor="background1" w:themeShade="1A"/>
          <w:sz w:val="28"/>
          <w:szCs w:val="28"/>
          <w:lang w:val="en-US"/>
        </w:rPr>
        <w:t>Can you describe the</w:t>
      </w:r>
      <w:r>
        <w:rPr>
          <w:color w:val="191919" w:themeColor="background1" w:themeShade="1A"/>
          <w:sz w:val="28"/>
          <w:szCs w:val="28"/>
          <w:lang w:val="en-US"/>
        </w:rPr>
        <w:t xml:space="preserve"> </w:t>
      </w:r>
      <w:r>
        <w:rPr>
          <w:rFonts w:ascii="Times New Roman" w:hAnsi="Times New Roman" w:cs="Times New Roman"/>
          <w:color w:val="191919" w:themeColor="background1" w:themeShade="1A"/>
          <w:sz w:val="28"/>
          <w:szCs w:val="28"/>
          <w:lang w:val="en-US"/>
        </w:rPr>
        <w:t>Mega trade deals.</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References:</w:t>
      </w:r>
    </w:p>
    <w:p>
      <w:pPr>
        <w:pStyle w:val="18"/>
        <w:numPr>
          <w:ilvl w:val="0"/>
          <w:numId w:val="36"/>
        </w:numPr>
        <w:tabs>
          <w:tab w:val="left" w:pos="426"/>
        </w:tabs>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iCs/>
          <w:color w:val="191919" w:themeColor="background1" w:themeShade="1A"/>
          <w:sz w:val="28"/>
          <w:szCs w:val="28"/>
          <w:lang w:val="en-US" w:eastAsia="ru-RU"/>
        </w:rPr>
        <w:t>Phelan, Ben (7 Jan 2017). </w:t>
      </w:r>
      <w:r>
        <w:fldChar w:fldCharType="begin"/>
      </w:r>
      <w:r>
        <w:instrText xml:space="preserve"> HYPERLINK "http://www.pbs.org/wgbh/roadshow/fts/corpuschristi_201205A19.html" </w:instrText>
      </w:r>
      <w:r>
        <w:fldChar w:fldCharType="separate"/>
      </w:r>
      <w:r>
        <w:rPr>
          <w:rFonts w:ascii="Times New Roman" w:hAnsi="Times New Roman" w:eastAsia="Times New Roman" w:cs="Times New Roman"/>
          <w:iCs/>
          <w:color w:val="191919" w:themeColor="background1" w:themeShade="1A"/>
          <w:sz w:val="28"/>
          <w:szCs w:val="28"/>
          <w:lang w:val="en-US" w:eastAsia="ru-RU"/>
        </w:rPr>
        <w:t>"Dutch East India Company: The World's First Multinational"</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xml:space="preserve">. </w:t>
      </w:r>
      <w:r>
        <w:fldChar w:fldCharType="begin"/>
      </w:r>
      <w:r>
        <w:instrText xml:space="preserve"> HYPERLINK "https://en.wikipedia.org/wiki/PBS.org" \o "PBS.org" </w:instrText>
      </w:r>
      <w:r>
        <w:fldChar w:fldCharType="separate"/>
      </w:r>
      <w:r>
        <w:rPr>
          <w:rFonts w:ascii="Times New Roman" w:hAnsi="Times New Roman" w:eastAsia="Times New Roman" w:cs="Times New Roman"/>
          <w:iCs/>
          <w:color w:val="191919" w:themeColor="background1" w:themeShade="1A"/>
          <w:sz w:val="28"/>
          <w:szCs w:val="28"/>
          <w:lang w:eastAsia="ru-RU"/>
        </w:rPr>
        <w:t>PBS.org</w:t>
      </w:r>
      <w:r>
        <w:rPr>
          <w:rFonts w:ascii="Times New Roman" w:hAnsi="Times New Roman" w:eastAsia="Times New Roman" w:cs="Times New Roman"/>
          <w:iCs/>
          <w:color w:val="191919" w:themeColor="background1" w:themeShade="1A"/>
          <w:sz w:val="28"/>
          <w:szCs w:val="28"/>
          <w:lang w:eastAsia="ru-RU"/>
        </w:rPr>
        <w:fldChar w:fldCharType="end"/>
      </w:r>
      <w:r>
        <w:rPr>
          <w:rFonts w:ascii="Times New Roman" w:hAnsi="Times New Roman" w:eastAsia="Times New Roman" w:cs="Times New Roman"/>
          <w:iCs/>
          <w:color w:val="191919" w:themeColor="background1" w:themeShade="1A"/>
          <w:sz w:val="28"/>
          <w:szCs w:val="28"/>
          <w:lang w:eastAsia="ru-RU"/>
        </w:rPr>
        <w:t>. Retrieved 8 August 2017.</w:t>
      </w:r>
    </w:p>
    <w:p>
      <w:pPr>
        <w:pStyle w:val="18"/>
        <w:numPr>
          <w:ilvl w:val="0"/>
          <w:numId w:val="36"/>
        </w:numPr>
        <w:shd w:val="clear" w:color="auto" w:fill="FFFFFF"/>
        <w:tabs>
          <w:tab w:val="left" w:pos="426"/>
        </w:tabs>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iCs/>
          <w:color w:val="191919" w:themeColor="background1" w:themeShade="1A"/>
          <w:sz w:val="28"/>
          <w:szCs w:val="28"/>
          <w:lang w:val="en-US" w:eastAsia="ru-RU"/>
        </w:rPr>
        <w:t xml:space="preserve">Hagel, John; Brown, John Seely (12 March 2016). </w:t>
      </w:r>
      <w:r>
        <w:fldChar w:fldCharType="begin"/>
      </w:r>
      <w:r>
        <w:instrText xml:space="preserve"> HYPERLINK "https://www2.deloitte.com/insights/us/en/topics/innovation/institutional-innovation.html" </w:instrText>
      </w:r>
      <w:r>
        <w:fldChar w:fldCharType="separate"/>
      </w:r>
      <w:r>
        <w:rPr>
          <w:rFonts w:ascii="Times New Roman" w:hAnsi="Times New Roman" w:eastAsia="Times New Roman" w:cs="Times New Roman"/>
          <w:iCs/>
          <w:color w:val="191919" w:themeColor="background1" w:themeShade="1A"/>
          <w:sz w:val="28"/>
          <w:szCs w:val="28"/>
          <w:lang w:val="en-US" w:eastAsia="ru-RU"/>
        </w:rPr>
        <w:t>"Institutional Innovation: Creating Smarter Organizations"</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xml:space="preserve">. </w:t>
      </w:r>
      <w:r>
        <w:fldChar w:fldCharType="begin"/>
      </w:r>
      <w:r>
        <w:instrText xml:space="preserve"> HYPERLINK "https://en.wikipedia.org/wiki/Deloitte" \o "Deloitte" </w:instrText>
      </w:r>
      <w:r>
        <w:fldChar w:fldCharType="separate"/>
      </w:r>
      <w:r>
        <w:rPr>
          <w:rFonts w:ascii="Times New Roman" w:hAnsi="Times New Roman" w:eastAsia="Times New Roman" w:cs="Times New Roman"/>
          <w:iCs/>
          <w:color w:val="191919" w:themeColor="background1" w:themeShade="1A"/>
          <w:sz w:val="28"/>
          <w:szCs w:val="28"/>
          <w:lang w:val="en-US" w:eastAsia="ru-RU"/>
        </w:rPr>
        <w:t>Deloitte Insights</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w:t>
      </w:r>
    </w:p>
    <w:p>
      <w:pPr>
        <w:pStyle w:val="18"/>
        <w:numPr>
          <w:ilvl w:val="0"/>
          <w:numId w:val="36"/>
        </w:numPr>
        <w:shd w:val="clear" w:color="auto" w:fill="FFFFFF"/>
        <w:tabs>
          <w:tab w:val="left" w:pos="426"/>
        </w:tabs>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iCs/>
          <w:color w:val="191919" w:themeColor="background1" w:themeShade="1A"/>
          <w:sz w:val="28"/>
          <w:szCs w:val="28"/>
          <w:lang w:val="en-US" w:eastAsia="ru-RU"/>
        </w:rPr>
        <w:t xml:space="preserve">Roberts, Keith (15 March 2016). </w:t>
      </w:r>
      <w:r>
        <w:fldChar w:fldCharType="begin"/>
      </w:r>
      <w:r>
        <w:instrText xml:space="preserve"> HYPERLINK "http://www.middlewisconsin.org/corporate-colonization-of-wisconsin-part-4/" </w:instrText>
      </w:r>
      <w:r>
        <w:fldChar w:fldCharType="separate"/>
      </w:r>
      <w:r>
        <w:rPr>
          <w:rFonts w:ascii="Times New Roman" w:hAnsi="Times New Roman" w:eastAsia="Times New Roman" w:cs="Times New Roman"/>
          <w:iCs/>
          <w:color w:val="191919" w:themeColor="background1" w:themeShade="1A"/>
          <w:sz w:val="28"/>
          <w:szCs w:val="28"/>
          <w:lang w:val="en-US" w:eastAsia="ru-RU"/>
        </w:rPr>
        <w:t>"Corporate Colonization of Wisconsin, Part IV - The Dutch East India Company and the Koch Wisconsin Company"</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MiddleWisconsin.org. Retrieved 25 May 2018.</w:t>
      </w:r>
    </w:p>
    <w:p>
      <w:pPr>
        <w:pStyle w:val="18"/>
        <w:numPr>
          <w:ilvl w:val="0"/>
          <w:numId w:val="36"/>
        </w:numPr>
        <w:shd w:val="clear" w:color="auto" w:fill="FFFFFF"/>
        <w:tabs>
          <w:tab w:val="left" w:pos="426"/>
        </w:tabs>
        <w:spacing w:after="0" w:line="240" w:lineRule="auto"/>
        <w:jc w:val="both"/>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iCs/>
          <w:color w:val="191919" w:themeColor="background1" w:themeShade="1A"/>
          <w:sz w:val="28"/>
          <w:szCs w:val="28"/>
          <w:lang w:val="en-US" w:eastAsia="ru-RU"/>
        </w:rPr>
        <w:t xml:space="preserve">Grenville, Stephen (3 November 2017). </w:t>
      </w:r>
      <w:r>
        <w:fldChar w:fldCharType="begin"/>
      </w:r>
      <w:r>
        <w:instrText xml:space="preserve"> HYPERLINK "https://www.lowyinstitute.org/the-interpreter/starting-point-first-global-supply-chain" </w:instrText>
      </w:r>
      <w:r>
        <w:fldChar w:fldCharType="separate"/>
      </w:r>
      <w:r>
        <w:rPr>
          <w:rFonts w:ascii="Times New Roman" w:hAnsi="Times New Roman" w:eastAsia="Times New Roman" w:cs="Times New Roman"/>
          <w:iCs/>
          <w:color w:val="191919" w:themeColor="background1" w:themeShade="1A"/>
          <w:sz w:val="28"/>
          <w:szCs w:val="28"/>
          <w:lang w:val="en-US" w:eastAsia="ru-RU"/>
        </w:rPr>
        <w:t>"The first global supply chain"</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xml:space="preserve">. </w:t>
      </w:r>
      <w:r>
        <w:fldChar w:fldCharType="begin"/>
      </w:r>
      <w:r>
        <w:instrText xml:space="preserve"> HYPERLINK "https://en.wikipedia.org/wiki/Lowy_Institute" \o "Lowy Institute" </w:instrText>
      </w:r>
      <w:r>
        <w:fldChar w:fldCharType="separate"/>
      </w:r>
      <w:r>
        <w:rPr>
          <w:rFonts w:ascii="Times New Roman" w:hAnsi="Times New Roman" w:eastAsia="Times New Roman" w:cs="Times New Roman"/>
          <w:iCs/>
          <w:color w:val="191919" w:themeColor="background1" w:themeShade="1A"/>
          <w:sz w:val="28"/>
          <w:szCs w:val="28"/>
          <w:lang w:eastAsia="ru-RU"/>
        </w:rPr>
        <w:t>Lowy Institute</w:t>
      </w:r>
      <w:r>
        <w:rPr>
          <w:rFonts w:ascii="Times New Roman" w:hAnsi="Times New Roman" w:eastAsia="Times New Roman" w:cs="Times New Roman"/>
          <w:iCs/>
          <w:color w:val="191919" w:themeColor="background1" w:themeShade="1A"/>
          <w:sz w:val="28"/>
          <w:szCs w:val="28"/>
          <w:lang w:eastAsia="ru-RU"/>
        </w:rPr>
        <w:fldChar w:fldCharType="end"/>
      </w:r>
      <w:r>
        <w:rPr>
          <w:rFonts w:ascii="Times New Roman" w:hAnsi="Times New Roman" w:eastAsia="Times New Roman" w:cs="Times New Roman"/>
          <w:iCs/>
          <w:color w:val="191919" w:themeColor="background1" w:themeShade="1A"/>
          <w:sz w:val="28"/>
          <w:szCs w:val="28"/>
          <w:lang w:eastAsia="ru-RU"/>
        </w:rPr>
        <w:t>. Retrieved 28 May 201</w:t>
      </w:r>
      <w:r>
        <w:rPr>
          <w:rFonts w:ascii="Times New Roman" w:hAnsi="Times New Roman" w:eastAsia="Times New Roman" w:cs="Times New Roman"/>
          <w:iCs/>
          <w:color w:val="191919" w:themeColor="background1" w:themeShade="1A"/>
          <w:sz w:val="28"/>
          <w:szCs w:val="28"/>
          <w:lang w:val="en-US" w:eastAsia="ru-RU"/>
        </w:rPr>
        <w:t>7</w:t>
      </w:r>
      <w:r>
        <w:rPr>
          <w:rFonts w:ascii="Times New Roman" w:hAnsi="Times New Roman" w:eastAsia="Times New Roman" w:cs="Times New Roman"/>
          <w:iCs/>
          <w:color w:val="191919" w:themeColor="background1" w:themeShade="1A"/>
          <w:sz w:val="28"/>
          <w:szCs w:val="28"/>
          <w:lang w:eastAsia="ru-RU"/>
        </w:rPr>
        <w:t>.</w:t>
      </w:r>
    </w:p>
    <w:p>
      <w:pPr>
        <w:shd w:val="clear" w:color="auto" w:fill="FFFFFF"/>
        <w:spacing w:after="0" w:line="240" w:lineRule="auto"/>
        <w:jc w:val="center"/>
        <w:rPr>
          <w:rFonts w:ascii="Times New Roman" w:hAnsi="Times New Roman" w:eastAsia="Times New Roman" w:cs="Times New Roman"/>
          <w:color w:val="191919" w:themeColor="background1" w:themeShade="1A"/>
          <w:sz w:val="28"/>
          <w:szCs w:val="28"/>
          <w:lang w:val="en-US" w:eastAsia="ru-RU"/>
        </w:rPr>
      </w:pPr>
    </w:p>
    <w:p>
      <w:pPr>
        <w:pStyle w:val="19"/>
        <w:rPr>
          <w:b/>
          <w:color w:val="191919" w:themeColor="background1" w:themeShade="1A"/>
          <w:sz w:val="28"/>
          <w:szCs w:val="28"/>
          <w:lang w:val="en-US"/>
        </w:rPr>
      </w:pPr>
    </w:p>
    <w:p>
      <w:pPr>
        <w:pStyle w:val="19"/>
        <w:rPr>
          <w:color w:val="191919" w:themeColor="background1" w:themeShade="1A"/>
          <w:sz w:val="28"/>
          <w:szCs w:val="28"/>
          <w:lang w:val="en-US"/>
        </w:rPr>
      </w:pPr>
      <w:r>
        <w:rPr>
          <w:b/>
          <w:color w:val="191919" w:themeColor="background1" w:themeShade="1A"/>
          <w:sz w:val="28"/>
          <w:szCs w:val="28"/>
          <w:lang w:val="en-US"/>
        </w:rPr>
        <w:t xml:space="preserve">Subject 11.  </w:t>
      </w:r>
      <w:r>
        <w:rPr>
          <w:b/>
          <w:bCs/>
          <w:color w:val="191919" w:themeColor="background1" w:themeShade="1A"/>
          <w:sz w:val="28"/>
          <w:szCs w:val="28"/>
          <w:lang w:val="en-US"/>
        </w:rPr>
        <w:t xml:space="preserve">Money, interest rates and exchange-rates in the open economy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Liquidity provision. Money, interest rates and exchange rates. National currency Exchange rates and international transactions.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Monetary reserves.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Stabilization Fund.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International monetary systems.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Global currencies. </w:t>
      </w:r>
    </w:p>
    <w:p>
      <w:pPr>
        <w:shd w:val="clear" w:color="auto" w:fill="FFFFFF"/>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Virtual currency concept.</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pStyle w:val="18"/>
        <w:numPr>
          <w:ilvl w:val="0"/>
          <w:numId w:val="37"/>
        </w:numPr>
        <w:tabs>
          <w:tab w:val="left" w:pos="284"/>
        </w:tabs>
        <w:spacing w:after="0" w:line="240" w:lineRule="auto"/>
        <w:ind w:left="0" w:hanging="11"/>
        <w:jc w:val="both"/>
        <w:rPr>
          <w:rFonts w:ascii="Times New Roman" w:hAnsi="Times New Roman" w:eastAsia="Times New Roman" w:cs="Times New Roman"/>
          <w:b/>
          <w:color w:val="191919" w:themeColor="background1" w:themeShade="1A"/>
          <w:sz w:val="28"/>
          <w:szCs w:val="28"/>
          <w:lang w:val="en-US" w:eastAsia="ru-RU"/>
        </w:rPr>
      </w:pPr>
      <w:r>
        <w:rPr>
          <w:rFonts w:ascii="Times New Roman" w:hAnsi="Times New Roman" w:eastAsia="Times New Roman" w:cs="Times New Roman"/>
          <w:b/>
          <w:color w:val="191919" w:themeColor="background1" w:themeShade="1A"/>
          <w:sz w:val="28"/>
          <w:szCs w:val="28"/>
          <w:lang w:val="en-US" w:eastAsia="ru-RU"/>
        </w:rPr>
        <w:t>Liquidity provision. Money, interest rates and exchange rates. National currency. Exchange rates  and international transactions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notion that a central bank should provide liquidity to the banking system in a crisis has a long intellectual lineage. Walter Bagehot's </w:t>
      </w:r>
      <w:r>
        <w:rPr>
          <w:i/>
          <w:iCs/>
          <w:color w:val="191919" w:themeColor="background1" w:themeShade="1A"/>
          <w:sz w:val="28"/>
          <w:szCs w:val="28"/>
          <w:lang w:val="en-US"/>
        </w:rPr>
        <w:t>Lombard Street</w:t>
      </w:r>
      <w:r>
        <w:rPr>
          <w:color w:val="191919" w:themeColor="background1" w:themeShade="1A"/>
          <w:sz w:val="28"/>
          <w:szCs w:val="28"/>
          <w:lang w:val="en-US"/>
        </w:rPr>
        <w:t>, published in 1873, remains one of the classic treatments of the role of the central bank in the management of financial crises. Bagehot noted that the basis of a successful credit system is confidence. In one passage, he writes, "Credit means that a certain confidence is given, and a certain trust reposed. Is that trust justified? and is that confidence wise? These are the cardinal questions". He pointed out that confidence is particularly important in banking and in other situations in which the lender's own liabilities are viewed as very liquid by its creditors. In such situations, as Bagehot put it, "…where the 'liabilities,' or promises to pay, are so large, and the time at which to pay them, if exacted, is so short," borrowers must demonstrate "an instant capacity to meet engagements".</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Meeting creditors' demands for payment requires holding liquidity - cash, essentially, or close equivalents. But neither individual institutions, nor the private sector as a whole, can maintain enough cash on hand to meet a demand for liquidation of all, or even a substantial fraction of, short-term liabilities. Doing so would be both unprofitable and socially undesirable. It would be unprofitable because cash pays a lower return than other investments. And it would be socially undesirable, because an excessive preference for liquid assets reduces society's ability to fund longer-term investments that carry a high return but cannot be liquidated quickly.</w:t>
      </w:r>
    </w:p>
    <w:p>
      <w:pPr>
        <w:pStyle w:val="10"/>
        <w:shd w:val="clear" w:color="auto" w:fill="FFFFFF"/>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However, holding liquid assets that are only a fraction of short-term liabilities presents an obvious risk. If most or all creditors, for lack of confidence or some other reason, demand cash at the same time, a borrower that finances longer-term assets with liquid liabilities will not be able to meet the demand. It would be forced either to defer or suspend payments or to sell some of its less-liquid assets (presumably at steep discounts) to make the payments. Either option may lead to the failure of the borrower, so that the loss of confidence, even if not originally justified by fundamentals, will tend to be self-confirming. If the loss of confidence becomes more general, a broader crisis may ensue.</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It should now be clear that the government of a small open economy of the sort we have been analyzing can control that country's nominal exchange rate and, a least for short periods, its real exchange rate as well. Indeed the nominal and real exchange rates are the mechanism through which monetary policy works. Many people, including most central bankers, claim that governments of small open economies can also control domestic interest rates and frequently use this control in implementing monetary policy. We now investigate these issues in more detail.</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The central bank, acting on the government's behalf, can move the real exchange rate by means of monetary policy under a flexible exchange rate regime when there is less-than-full employment. Fiscal and commercial policy can also permanently alter the real exchange rate under full-employment conditions while monetary policy can affect only the nominal exchange rate in this case. Fiscal and commercial policy will affect the nominal exchange rate whenever it is flexible.</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It is also widely believed that the government can manipulate the nominal exchange rate by simply buying and selling foreign currency for domestic currency on the international market. This argument is analyzed below. But first we need to investigate the ability of the small open economy's authorities to manipulate domestic interest rates.</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From the computer-assisted learning module </w:t>
      </w:r>
      <w:r>
        <w:rPr>
          <w:rFonts w:ascii="Times New Roman" w:hAnsi="Times New Roman" w:eastAsia="Times New Roman" w:cs="Times New Roman"/>
          <w:i/>
          <w:iCs/>
          <w:color w:val="191919" w:themeColor="background1" w:themeShade="1A"/>
          <w:sz w:val="28"/>
          <w:szCs w:val="28"/>
          <w:lang w:val="en-US" w:eastAsia="ru-RU"/>
        </w:rPr>
        <w:t>The Foreign Exchange Market</w:t>
      </w:r>
      <w:r>
        <w:rPr>
          <w:rFonts w:ascii="Times New Roman" w:hAnsi="Times New Roman" w:eastAsia="Times New Roman" w:cs="Times New Roman"/>
          <w:color w:val="191919" w:themeColor="background1" w:themeShade="1A"/>
          <w:sz w:val="28"/>
          <w:szCs w:val="28"/>
          <w:lang w:val="en-US" w:eastAsia="ru-RU"/>
        </w:rPr>
        <w:t> you should have learned that the domestic and foreign nominal and real interest rates are related as follows:</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    1.    i</w:t>
      </w:r>
      <w:r>
        <w:rPr>
          <w:rFonts w:ascii="Times New Roman" w:hAnsi="Times New Roman" w:eastAsia="Times New Roman" w:cs="Times New Roman"/>
          <w:color w:val="191919" w:themeColor="background1" w:themeShade="1A"/>
          <w:sz w:val="28"/>
          <w:szCs w:val="28"/>
          <w:vertAlign w:val="subscript"/>
          <w:lang w:val="en-US" w:eastAsia="ru-RU"/>
        </w:rPr>
        <w:t>d</w:t>
      </w:r>
      <w:r>
        <w:rPr>
          <w:rFonts w:ascii="Times New Roman" w:hAnsi="Times New Roman" w:eastAsia="Times New Roman" w:cs="Times New Roman"/>
          <w:color w:val="191919" w:themeColor="background1" w:themeShade="1A"/>
          <w:sz w:val="28"/>
          <w:szCs w:val="28"/>
          <w:lang w:val="en-US" w:eastAsia="ru-RU"/>
        </w:rPr>
        <w:t>  =  i</w:t>
      </w:r>
      <w:r>
        <w:rPr>
          <w:rFonts w:ascii="Times New Roman" w:hAnsi="Times New Roman" w:eastAsia="Times New Roman" w:cs="Times New Roman"/>
          <w:color w:val="191919" w:themeColor="background1" w:themeShade="1A"/>
          <w:sz w:val="28"/>
          <w:szCs w:val="28"/>
          <w:vertAlign w:val="subscript"/>
          <w:lang w:val="en-US" w:eastAsia="ru-RU"/>
        </w:rPr>
        <w:t>f</w:t>
      </w:r>
      <w:r>
        <w:rPr>
          <w:rFonts w:ascii="Times New Roman" w:hAnsi="Times New Roman" w:eastAsia="Times New Roman" w:cs="Times New Roman"/>
          <w:color w:val="191919" w:themeColor="background1" w:themeShade="1A"/>
          <w:sz w:val="28"/>
          <w:szCs w:val="28"/>
          <w:lang w:val="en-US" w:eastAsia="ru-RU"/>
        </w:rPr>
        <w:t>  +  E</w:t>
      </w:r>
      <w:r>
        <w:rPr>
          <w:rFonts w:ascii="Times New Roman" w:hAnsi="Times New Roman" w:eastAsia="Times New Roman" w:cs="Times New Roman"/>
          <w:color w:val="191919" w:themeColor="background1" w:themeShade="1A"/>
          <w:sz w:val="28"/>
          <w:szCs w:val="28"/>
          <w:vertAlign w:val="subscript"/>
          <w:lang w:eastAsia="ru-RU"/>
        </w:rPr>
        <w:t>π</w:t>
      </w:r>
      <w:r>
        <w:rPr>
          <w:rFonts w:ascii="Times New Roman" w:hAnsi="Times New Roman" w:eastAsia="Times New Roman" w:cs="Times New Roman"/>
          <w:color w:val="191919" w:themeColor="background1" w:themeShade="1A"/>
          <w:sz w:val="28"/>
          <w:szCs w:val="28"/>
          <w:lang w:val="en-US" w:eastAsia="ru-RU"/>
        </w:rPr>
        <w:t>  +  </w:t>
      </w:r>
      <w:r>
        <w:rPr>
          <w:rFonts w:ascii="Times New Roman" w:hAnsi="Times New Roman" w:eastAsia="Times New Roman" w:cs="Times New Roman"/>
          <w:color w:val="191919" w:themeColor="background1" w:themeShade="1A"/>
          <w:sz w:val="28"/>
          <w:szCs w:val="28"/>
          <w:lang w:eastAsia="ru-RU"/>
        </w:rPr>
        <w:t>ρ</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    2.    r</w:t>
      </w:r>
      <w:r>
        <w:rPr>
          <w:rFonts w:ascii="Times New Roman" w:hAnsi="Times New Roman" w:eastAsia="Times New Roman" w:cs="Times New Roman"/>
          <w:color w:val="191919" w:themeColor="background1" w:themeShade="1A"/>
          <w:sz w:val="28"/>
          <w:szCs w:val="28"/>
          <w:vertAlign w:val="subscript"/>
          <w:lang w:val="en-US" w:eastAsia="ru-RU"/>
        </w:rPr>
        <w:t>d</w:t>
      </w:r>
      <w:r>
        <w:rPr>
          <w:rFonts w:ascii="Times New Roman" w:hAnsi="Times New Roman" w:eastAsia="Times New Roman" w:cs="Times New Roman"/>
          <w:color w:val="191919" w:themeColor="background1" w:themeShade="1A"/>
          <w:sz w:val="28"/>
          <w:szCs w:val="28"/>
          <w:lang w:val="en-US" w:eastAsia="ru-RU"/>
        </w:rPr>
        <w:t>  =  i</w:t>
      </w:r>
      <w:r>
        <w:rPr>
          <w:rFonts w:ascii="Times New Roman" w:hAnsi="Times New Roman" w:eastAsia="Times New Roman" w:cs="Times New Roman"/>
          <w:color w:val="191919" w:themeColor="background1" w:themeShade="1A"/>
          <w:sz w:val="28"/>
          <w:szCs w:val="28"/>
          <w:vertAlign w:val="subscript"/>
          <w:lang w:val="en-US" w:eastAsia="ru-RU"/>
        </w:rPr>
        <w:t>d</w:t>
      </w:r>
      <w:r>
        <w:rPr>
          <w:rFonts w:ascii="Times New Roman" w:hAnsi="Times New Roman" w:eastAsia="Times New Roman" w:cs="Times New Roman"/>
          <w:color w:val="191919" w:themeColor="background1" w:themeShade="1A"/>
          <w:sz w:val="28"/>
          <w:szCs w:val="28"/>
          <w:lang w:val="en-US" w:eastAsia="ru-RU"/>
        </w:rPr>
        <w:t>  -  E</w:t>
      </w:r>
      <w:r>
        <w:rPr>
          <w:rFonts w:ascii="Times New Roman" w:hAnsi="Times New Roman" w:eastAsia="Times New Roman" w:cs="Times New Roman"/>
          <w:color w:val="191919" w:themeColor="background1" w:themeShade="1A"/>
          <w:sz w:val="28"/>
          <w:szCs w:val="28"/>
          <w:vertAlign w:val="subscript"/>
          <w:lang w:val="en-US" w:eastAsia="ru-RU"/>
        </w:rPr>
        <w:t>pd</w:t>
      </w:r>
      <w:r>
        <w:rPr>
          <w:rFonts w:ascii="Times New Roman" w:hAnsi="Times New Roman" w:eastAsia="Times New Roman" w:cs="Times New Roman"/>
          <w:color w:val="191919" w:themeColor="background1" w:themeShade="1A"/>
          <w:sz w:val="28"/>
          <w:szCs w:val="28"/>
          <w:lang w:val="en-US" w:eastAsia="ru-RU"/>
        </w:rPr>
        <w:t> </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    3.    r</w:t>
      </w:r>
      <w:r>
        <w:rPr>
          <w:rFonts w:ascii="Times New Roman" w:hAnsi="Times New Roman" w:eastAsia="Times New Roman" w:cs="Times New Roman"/>
          <w:color w:val="191919" w:themeColor="background1" w:themeShade="1A"/>
          <w:sz w:val="28"/>
          <w:szCs w:val="28"/>
          <w:vertAlign w:val="subscript"/>
          <w:lang w:val="en-US" w:eastAsia="ru-RU"/>
        </w:rPr>
        <w:t>f</w:t>
      </w:r>
      <w:r>
        <w:rPr>
          <w:rFonts w:ascii="Times New Roman" w:hAnsi="Times New Roman" w:eastAsia="Times New Roman" w:cs="Times New Roman"/>
          <w:color w:val="191919" w:themeColor="background1" w:themeShade="1A"/>
          <w:sz w:val="28"/>
          <w:szCs w:val="28"/>
          <w:lang w:val="en-US" w:eastAsia="ru-RU"/>
        </w:rPr>
        <w:t>  =  i</w:t>
      </w:r>
      <w:r>
        <w:rPr>
          <w:rFonts w:ascii="Times New Roman" w:hAnsi="Times New Roman" w:eastAsia="Times New Roman" w:cs="Times New Roman"/>
          <w:color w:val="191919" w:themeColor="background1" w:themeShade="1A"/>
          <w:sz w:val="28"/>
          <w:szCs w:val="28"/>
          <w:vertAlign w:val="subscript"/>
          <w:lang w:val="en-US" w:eastAsia="ru-RU"/>
        </w:rPr>
        <w:t>f</w:t>
      </w:r>
      <w:r>
        <w:rPr>
          <w:rFonts w:ascii="Times New Roman" w:hAnsi="Times New Roman" w:eastAsia="Times New Roman" w:cs="Times New Roman"/>
          <w:color w:val="191919" w:themeColor="background1" w:themeShade="1A"/>
          <w:sz w:val="28"/>
          <w:szCs w:val="28"/>
          <w:lang w:val="en-US" w:eastAsia="ru-RU"/>
        </w:rPr>
        <w:t>  -  E</w:t>
      </w:r>
      <w:r>
        <w:rPr>
          <w:rFonts w:ascii="Times New Roman" w:hAnsi="Times New Roman" w:eastAsia="Times New Roman" w:cs="Times New Roman"/>
          <w:color w:val="191919" w:themeColor="background1" w:themeShade="1A"/>
          <w:sz w:val="28"/>
          <w:szCs w:val="28"/>
          <w:vertAlign w:val="subscript"/>
          <w:lang w:val="en-US" w:eastAsia="ru-RU"/>
        </w:rPr>
        <w:t>pf</w:t>
      </w:r>
      <w:r>
        <w:rPr>
          <w:rFonts w:ascii="Times New Roman" w:hAnsi="Times New Roman" w:eastAsia="Times New Roman" w:cs="Times New Roman"/>
          <w:color w:val="191919" w:themeColor="background1" w:themeShade="1A"/>
          <w:sz w:val="28"/>
          <w:szCs w:val="28"/>
          <w:lang w:val="en-US" w:eastAsia="ru-RU"/>
        </w:rPr>
        <w:t> </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    4.    r</w:t>
      </w:r>
      <w:r>
        <w:rPr>
          <w:rFonts w:ascii="Times New Roman" w:hAnsi="Times New Roman" w:eastAsia="Times New Roman" w:cs="Times New Roman"/>
          <w:bCs/>
          <w:color w:val="191919" w:themeColor="background1" w:themeShade="1A"/>
          <w:sz w:val="28"/>
          <w:szCs w:val="28"/>
          <w:vertAlign w:val="subscript"/>
          <w:lang w:val="en-US" w:eastAsia="ru-RU"/>
        </w:rPr>
        <w:t>d</w:t>
      </w:r>
      <w:r>
        <w:rPr>
          <w:rFonts w:ascii="Times New Roman" w:hAnsi="Times New Roman" w:eastAsia="Times New Roman" w:cs="Times New Roman"/>
          <w:bCs/>
          <w:color w:val="191919" w:themeColor="background1" w:themeShade="1A"/>
          <w:sz w:val="28"/>
          <w:szCs w:val="28"/>
          <w:lang w:val="en-US" w:eastAsia="ru-RU"/>
        </w:rPr>
        <w:t>  =  r</w:t>
      </w:r>
      <w:r>
        <w:rPr>
          <w:rFonts w:ascii="Times New Roman" w:hAnsi="Times New Roman" w:eastAsia="Times New Roman" w:cs="Times New Roman"/>
          <w:bCs/>
          <w:color w:val="191919" w:themeColor="background1" w:themeShade="1A"/>
          <w:sz w:val="28"/>
          <w:szCs w:val="28"/>
          <w:vertAlign w:val="subscript"/>
          <w:lang w:val="en-US" w:eastAsia="ru-RU"/>
        </w:rPr>
        <w:t>f</w:t>
      </w:r>
      <w:r>
        <w:rPr>
          <w:rFonts w:ascii="Times New Roman" w:hAnsi="Times New Roman" w:eastAsia="Times New Roman" w:cs="Times New Roman"/>
          <w:bCs/>
          <w:color w:val="191919" w:themeColor="background1" w:themeShade="1A"/>
          <w:sz w:val="28"/>
          <w:szCs w:val="28"/>
          <w:lang w:val="en-US" w:eastAsia="ru-RU"/>
        </w:rPr>
        <w:t>  -  E</w:t>
      </w:r>
      <w:r>
        <w:rPr>
          <w:rFonts w:ascii="Times New Roman" w:hAnsi="Times New Roman" w:eastAsia="Times New Roman" w:cs="Times New Roman"/>
          <w:bCs/>
          <w:color w:val="191919" w:themeColor="background1" w:themeShade="1A"/>
          <w:sz w:val="28"/>
          <w:szCs w:val="28"/>
          <w:vertAlign w:val="subscript"/>
          <w:lang w:val="en-US" w:eastAsia="ru-RU"/>
        </w:rPr>
        <w:t>q</w:t>
      </w:r>
      <w:r>
        <w:rPr>
          <w:rFonts w:ascii="Times New Roman" w:hAnsi="Times New Roman" w:eastAsia="Times New Roman" w:cs="Times New Roman"/>
          <w:bCs/>
          <w:color w:val="191919" w:themeColor="background1" w:themeShade="1A"/>
          <w:sz w:val="28"/>
          <w:szCs w:val="28"/>
          <w:lang w:val="en-US" w:eastAsia="ru-RU"/>
        </w:rPr>
        <w:t>  +  </w:t>
      </w:r>
      <w:r>
        <w:rPr>
          <w:rFonts w:ascii="Times New Roman" w:hAnsi="Times New Roman" w:eastAsia="Times New Roman" w:cs="Times New Roman"/>
          <w:bCs/>
          <w:color w:val="191919" w:themeColor="background1" w:themeShade="1A"/>
          <w:sz w:val="28"/>
          <w:szCs w:val="28"/>
          <w:lang w:eastAsia="ru-RU"/>
        </w:rPr>
        <w:t>ρ</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where  i  and  r  are the nominal and real interest rates respectively, the subscripts  d  and  f  denote domestic and foreign, and  E</w:t>
      </w:r>
      <w:r>
        <w:rPr>
          <w:rFonts w:ascii="Times New Roman" w:hAnsi="Times New Roman" w:eastAsia="Times New Roman" w:cs="Times New Roman"/>
          <w:color w:val="191919" w:themeColor="background1" w:themeShade="1A"/>
          <w:sz w:val="28"/>
          <w:szCs w:val="28"/>
          <w:vertAlign w:val="subscript"/>
          <w:lang w:eastAsia="ru-RU"/>
        </w:rPr>
        <w:t>π</w:t>
      </w:r>
      <w:r>
        <w:rPr>
          <w:rFonts w:ascii="Times New Roman" w:hAnsi="Times New Roman" w:eastAsia="Times New Roman" w:cs="Times New Roman"/>
          <w:color w:val="191919" w:themeColor="background1" w:themeShade="1A"/>
          <w:sz w:val="28"/>
          <w:szCs w:val="28"/>
          <w:lang w:val="en-US" w:eastAsia="ru-RU"/>
        </w:rPr>
        <w:t> ,  E</w:t>
      </w:r>
      <w:r>
        <w:rPr>
          <w:rFonts w:ascii="Times New Roman" w:hAnsi="Times New Roman" w:eastAsia="Times New Roman" w:cs="Times New Roman"/>
          <w:color w:val="191919" w:themeColor="background1" w:themeShade="1A"/>
          <w:sz w:val="28"/>
          <w:szCs w:val="28"/>
          <w:vertAlign w:val="subscript"/>
          <w:lang w:val="en-US" w:eastAsia="ru-RU"/>
        </w:rPr>
        <w:t>q</w:t>
      </w:r>
      <w:r>
        <w:rPr>
          <w:rFonts w:ascii="Times New Roman" w:hAnsi="Times New Roman" w:eastAsia="Times New Roman" w:cs="Times New Roman"/>
          <w:color w:val="191919" w:themeColor="background1" w:themeShade="1A"/>
          <w:sz w:val="28"/>
          <w:szCs w:val="28"/>
          <w:lang w:val="en-US" w:eastAsia="ru-RU"/>
        </w:rPr>
        <w:t>  and  E</w:t>
      </w:r>
      <w:r>
        <w:rPr>
          <w:rFonts w:ascii="Times New Roman" w:hAnsi="Times New Roman" w:eastAsia="Times New Roman" w:cs="Times New Roman"/>
          <w:color w:val="191919" w:themeColor="background1" w:themeShade="1A"/>
          <w:sz w:val="28"/>
          <w:szCs w:val="28"/>
          <w:vertAlign w:val="subscript"/>
          <w:lang w:val="en-US" w:eastAsia="ru-RU"/>
        </w:rPr>
        <w:t>p</w:t>
      </w:r>
      <w:r>
        <w:rPr>
          <w:rFonts w:ascii="Times New Roman" w:hAnsi="Times New Roman" w:eastAsia="Times New Roman" w:cs="Times New Roman"/>
          <w:color w:val="191919" w:themeColor="background1" w:themeShade="1A"/>
          <w:sz w:val="28"/>
          <w:szCs w:val="28"/>
          <w:lang w:val="en-US" w:eastAsia="ru-RU"/>
        </w:rPr>
        <w:t>  are, respectively, the expected rates of change of the nominal and real exchange rates and price level.</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first equation says that the domestic nominal interest rate must exceed the foreign nominal interest rate by an allowance for risk  </w:t>
      </w:r>
      <w:r>
        <w:rPr>
          <w:rFonts w:ascii="Times New Roman" w:hAnsi="Times New Roman" w:eastAsia="Times New Roman" w:cs="Times New Roman"/>
          <w:color w:val="191919" w:themeColor="background1" w:themeShade="1A"/>
          <w:sz w:val="28"/>
          <w:szCs w:val="28"/>
          <w:lang w:eastAsia="ru-RU"/>
        </w:rPr>
        <w:t>ρ</w:t>
      </w:r>
      <w:r>
        <w:rPr>
          <w:rFonts w:ascii="Times New Roman" w:hAnsi="Times New Roman" w:eastAsia="Times New Roman" w:cs="Times New Roman"/>
          <w:color w:val="191919" w:themeColor="background1" w:themeShade="1A"/>
          <w:sz w:val="28"/>
          <w:szCs w:val="28"/>
          <w:lang w:val="en-US" w:eastAsia="ru-RU"/>
        </w:rPr>
        <w:t>  plus an amount equal to the capital loss expected on domestic nominal assets relative to foreign assets from the future rise in the price of foreign currency in terms of domestic currency otherwise people would shift asset holdings between domestic-currency and foreign-currency denominated bonds. The second and third equations are the Fisher conditions each country's nominal interest rate must equal its real interest rate plus the expected rate of inflation. The fourth equation says that the domestic real interest rate must exceed the foreign real interest rate by the risk premium minus the expected rate of increase in the real exchange rate an increase in the expected real exchange rate creates an expected capital gain from holding domestic rather than foreign real capital goods, making it profitable to hold them at a lower real interest rate.</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Equation 4 implies that the domestic authorities can raise the domestic real interest rate by making domestically held capital more risky that is, increasing  </w:t>
      </w:r>
      <w:r>
        <w:rPr>
          <w:rFonts w:ascii="Times New Roman" w:hAnsi="Times New Roman" w:eastAsia="Times New Roman" w:cs="Times New Roman"/>
          <w:bCs/>
          <w:color w:val="191919" w:themeColor="background1" w:themeShade="1A"/>
          <w:sz w:val="28"/>
          <w:szCs w:val="28"/>
          <w:lang w:eastAsia="ru-RU"/>
        </w:rPr>
        <w:t>ρ</w:t>
      </w:r>
      <w:r>
        <w:rPr>
          <w:rFonts w:ascii="Times New Roman" w:hAnsi="Times New Roman" w:eastAsia="Times New Roman" w:cs="Times New Roman"/>
          <w:bCs/>
          <w:color w:val="191919" w:themeColor="background1" w:themeShade="1A"/>
          <w:sz w:val="28"/>
          <w:szCs w:val="28"/>
          <w:lang w:val="en-US" w:eastAsia="ru-RU"/>
        </w:rPr>
        <w:t> -or by inducing an expected future decline in the domestic real exchange rate. The latter could be brought about by reducing the money supply under circumstances where domestic residents know that the resulting appreciation of the real exchange rate is a temporary overshooting adjustment that will subsequently dissipate. If the exchange rate is perceived to be a random walk, however, the expected future real exchange rate will always equal the current rate and  E</w:t>
      </w:r>
      <w:r>
        <w:rPr>
          <w:rFonts w:ascii="Times New Roman" w:hAnsi="Times New Roman" w:eastAsia="Times New Roman" w:cs="Times New Roman"/>
          <w:bCs/>
          <w:color w:val="191919" w:themeColor="background1" w:themeShade="1A"/>
          <w:sz w:val="28"/>
          <w:szCs w:val="28"/>
          <w:vertAlign w:val="subscript"/>
          <w:lang w:val="en-US" w:eastAsia="ru-RU"/>
        </w:rPr>
        <w:t>q</w:t>
      </w:r>
      <w:r>
        <w:rPr>
          <w:rFonts w:ascii="Times New Roman" w:hAnsi="Times New Roman" w:eastAsia="Times New Roman" w:cs="Times New Roman"/>
          <w:bCs/>
          <w:color w:val="191919" w:themeColor="background1" w:themeShade="1A"/>
          <w:sz w:val="28"/>
          <w:szCs w:val="28"/>
          <w:lang w:val="en-US" w:eastAsia="ru-RU"/>
        </w:rPr>
        <w:t xml:space="preserve"> will be zero. These conditions give the small country's central bank little room to manipulate the domestic real interest rate.</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It is quite easy for the domestic central bank to manipulate the nominal interest rate. By changing the rate of expansion of the domestic money supply it can ultimately change the domestic rate of inflation. As soon as the new rate of inflation becomes anticipated the domestic nominal interest rate will adjust accordingly.</w:t>
      </w:r>
      <w:r>
        <w:rPr>
          <w:rFonts w:ascii="Times New Roman" w:hAnsi="Times New Roman" w:eastAsia="Times New Roman" w:cs="Times New Roman"/>
          <w:color w:val="191919" w:themeColor="background1" w:themeShade="1A"/>
          <w:sz w:val="28"/>
          <w:szCs w:val="28"/>
          <w:lang w:val="en-US" w:eastAsia="ru-RU"/>
        </w:rPr>
        <w:t> Although changes in the real interest rate, if perceived to be permanent, are likely to affect domestic investment, nominal interest rate changes by themselves have no effects on investment, output and employment.</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The above conclusions seem to conflict with the assertions of most central banks that they conduct their monetary policy by manipulating domestic interest rates. On closer examination of these claims, however, it is apparent that the interest rates central banks claim to control are the interest rates on overnight loans of reserves between commercial banks and not the real interest rates that enter into the determination of investment expenditure. As banks clear cheques drawn on each other, reserves are constantly shifting from bank to bank. Since these reserve holdings bear minimal interest, banks will choose to keep them as small as is consistent with their obligations to their depositors and any government regulations that apply. When a bank's reserves are drawn down unexpectedly it will borrow reserves on an overnight basis from other banks that have a surplus over their needs. When all banks find themselves short of reserves the interest rate on these overnight borrowings will increase and when they have surplus reserves the overnight rate will decline.</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These interest rates on overnight borrowing will never diverge persistently from the interest rates on the broad range of other assets in the economy because, given a few days or a week, banks can always liquidate their assets to replenish reserves or shift excess reserves into a broad range of assets. And the domestic interest rates at which banks can lend and borrow in the economy as a whole are anchored to foreign interest rates on securities of equivalent risk and maturity.</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In many cases a central bank, by increasing and decreasing the reserves of the banking system, can substantially move the overnight rate on inter-bank loans, but the effect is necessary temporary since the banks can access the broader capital market within a day or two. Every time the central bank expands reserves, of course, it increases the money supply and every time it contracts reserves the domestic money supply declines. Central banks usually also set an interest rate at which they will lend as a "last resort" to commercial banks that are short of reserves. This interest rate, called bank rate, is usually announced in advance along with a target level or range at which the central bank would like to keep the overnight interbank borrowing rate.</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Cs/>
          <w:color w:val="191919" w:themeColor="background1" w:themeShade="1A"/>
          <w:sz w:val="28"/>
          <w:szCs w:val="28"/>
          <w:lang w:val="en-US" w:eastAsia="ru-RU"/>
        </w:rPr>
        <w:t>While the central bank may exercise the intention of moving the overnight borrowing rate up or down it can never be sure that it has accomplished its goal, since this rate is also affected by market conditions which central bank economists can only forecast imperfectly. The bank thus will often not be able to determine whether it was responsible for moving the overnight rate in a particular direction or whether the rate would have moved in that direction anyway.</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One way a central bank can maintain pinpoint control over the rate of interest on overnight borrowing of reserves is to make deposits with it the entire source of such reserves and to pay interest on those deposits at rates that will maintain its position as the sole source of overnight reserves. As long as it is set high enough, this interest rate comes under the direct control of the central bank, and will be correlated with market rates only to the extent that the authorities manipulate it to be so correlated.</w:t>
      </w:r>
    </w:p>
    <w:p>
      <w:pPr>
        <w:pStyle w:val="18"/>
        <w:numPr>
          <w:ilvl w:val="0"/>
          <w:numId w:val="37"/>
        </w:numPr>
        <w:tabs>
          <w:tab w:val="left" w:pos="426"/>
        </w:tabs>
        <w:spacing w:after="0" w:line="240" w:lineRule="auto"/>
        <w:ind w:left="0" w:hanging="11"/>
        <w:rPr>
          <w:rFonts w:ascii="Times New Roman" w:hAnsi="Times New Roman" w:eastAsia="Times New Roman" w:cs="Times New Roman"/>
          <w:b/>
          <w:color w:val="191919" w:themeColor="background1" w:themeShade="1A"/>
          <w:sz w:val="28"/>
          <w:szCs w:val="28"/>
          <w:lang w:val="en-US" w:eastAsia="ru-RU"/>
        </w:rPr>
      </w:pPr>
      <w:r>
        <w:rPr>
          <w:rFonts w:ascii="Times New Roman" w:hAnsi="Times New Roman" w:eastAsia="Times New Roman" w:cs="Times New Roman"/>
          <w:b/>
          <w:color w:val="191919" w:themeColor="background1" w:themeShade="1A"/>
          <w:sz w:val="28"/>
          <w:szCs w:val="28"/>
          <w:lang w:val="en-US" w:eastAsia="ru-RU"/>
        </w:rPr>
        <w:t>Monetary reserves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 monetary reserve is a central bank's holdings of a country’s currency and precious metals. The central bank holdings allow for the regulation of the nation's currency and money supply, as well as manage the transactions in global markets. Monetary reserves help governments to meet current and near-term financial obligations. Reserves are an asset in a country’s </w:t>
      </w:r>
      <w:r>
        <w:fldChar w:fldCharType="begin"/>
      </w:r>
      <w:r>
        <w:instrText xml:space="preserve"> HYPERLINK "https://www.investopedia.com/terms/b/bop.asp" </w:instrText>
      </w:r>
      <w:r>
        <w:fldChar w:fldCharType="separate"/>
      </w:r>
      <w:r>
        <w:rPr>
          <w:rFonts w:ascii="Times New Roman" w:hAnsi="Times New Roman" w:eastAsia="Times New Roman" w:cs="Times New Roman"/>
          <w:color w:val="191919" w:themeColor="background1" w:themeShade="1A"/>
          <w:sz w:val="28"/>
          <w:szCs w:val="28"/>
          <w:lang w:val="en-US" w:eastAsia="ru-RU"/>
        </w:rPr>
        <w:t>balance of payments</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The U.S. dollar is the dominant reserve asset, so most nations central banks hold much of their reserves in U.S. dollars.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Monetary reserves holdings are known as </w:t>
      </w:r>
      <w:r>
        <w:fldChar w:fldCharType="begin"/>
      </w:r>
      <w:r>
        <w:instrText xml:space="preserve"> HYPERLINK "https://www.investopedia.com/terms/m/monetary-aggregates.asp" </w:instrText>
      </w:r>
      <w:r>
        <w:fldChar w:fldCharType="separate"/>
      </w:r>
      <w:r>
        <w:rPr>
          <w:rFonts w:ascii="Times New Roman" w:hAnsi="Times New Roman" w:eastAsia="Times New Roman" w:cs="Times New Roman"/>
          <w:color w:val="191919" w:themeColor="background1" w:themeShade="1A"/>
          <w:sz w:val="28"/>
          <w:szCs w:val="28"/>
          <w:lang w:val="en-US" w:eastAsia="ru-RU"/>
        </w:rPr>
        <w:t>monetary aggregates</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and are broad categories which define and measure the money supply in an economy. In the United States, the standardized monetary aggregates include physical paper and coins, money market shares, savings deposits, and other items. </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 country's central bank monetary authorities will use their readily available </w:t>
      </w:r>
      <w:r>
        <w:fldChar w:fldCharType="begin"/>
      </w:r>
      <w:r>
        <w:instrText xml:space="preserve"> HYPERLINK "https://www.investopedia.com/terms/r/reserve-assets.asp" </w:instrText>
      </w:r>
      <w:r>
        <w:fldChar w:fldCharType="separate"/>
      </w:r>
      <w:r>
        <w:rPr>
          <w:rFonts w:ascii="Times New Roman" w:hAnsi="Times New Roman" w:eastAsia="Times New Roman" w:cs="Times New Roman"/>
          <w:color w:val="191919" w:themeColor="background1" w:themeShade="1A"/>
          <w:sz w:val="28"/>
          <w:szCs w:val="28"/>
          <w:lang w:val="en-US" w:eastAsia="ru-RU"/>
        </w:rPr>
        <w:t>reserve assets</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to fund currency manipulation activities within the nation's economy. Central banks will also maintain </w:t>
      </w:r>
      <w:r>
        <w:fldChar w:fldCharType="begin"/>
      </w:r>
      <w:r>
        <w:instrText xml:space="preserve"> HYPERLINK "https://www.investopedia.com/terms/i/international-reserves.asp" </w:instrText>
      </w:r>
      <w:r>
        <w:fldChar w:fldCharType="separate"/>
      </w:r>
      <w:r>
        <w:rPr>
          <w:rFonts w:ascii="Times New Roman" w:hAnsi="Times New Roman" w:eastAsia="Times New Roman" w:cs="Times New Roman"/>
          <w:color w:val="191919" w:themeColor="background1" w:themeShade="1A"/>
          <w:sz w:val="28"/>
          <w:szCs w:val="28"/>
          <w:lang w:val="en-US" w:eastAsia="ru-RU"/>
        </w:rPr>
        <w:t>international reserves</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which are funds that the banks can pass among themselves to satisfy global transactions. Reserves themselves can either be gold or a specific currency, such as the dollar or euro.</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current system of holding currency and commodities dates from 1971-73. At that time, President Richard Nixon enacted price controls and ended the U.S. dollar’s convertibility to gold in response to rampant inflation plus the recession, or stagflation, as well as pressure on dollar and gold prices.</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This change marked the end of the </w:t>
      </w:r>
      <w:r>
        <w:fldChar w:fldCharType="begin"/>
      </w:r>
      <w:r>
        <w:rPr>
          <w:lang w:val="en-US"/>
        </w:rPr>
        <w:instrText xml:space="preserve"> HYPERLINK "https://www.investopedia.com/terms/b/brettonwoodsagreement.asp" </w:instrText>
      </w:r>
      <w:r>
        <w:fldChar w:fldCharType="separate"/>
      </w:r>
      <w:r>
        <w:rPr>
          <w:rFonts w:ascii="Times New Roman" w:hAnsi="Times New Roman" w:eastAsia="Times New Roman" w:cs="Times New Roman"/>
          <w:color w:val="191919" w:themeColor="background1" w:themeShade="1A"/>
          <w:sz w:val="28"/>
          <w:szCs w:val="28"/>
          <w:lang w:val="en-US" w:eastAsia="ru-RU"/>
        </w:rPr>
        <w:t>Bretton Woods Agreement</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era. The 1944 Bretton Woods Agreement set the exchange value for all currencies in terms of gold. Member countries pledged that central banks would maintain fixed exchange rates between their currencies and the dollar. If a country's currency value became too weak relative to the dollar, the central bank would buy its own currency in foreign exchange markets to decrease supply and increase the price. If the currency became too expensive, the bank could print more to increase supply and decrease price and thus demand.</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Because the United States held most of the world's gold, a majority of countries pegged their currency value to the dollar instead of to gold. Central banks maintained fixed exchange rates between their currencies and the dollar. The value of the dollar increased even though its worth in gold remained the same, making the U.S. dollar effectively a world currency. This discrepancy eventually led to the collapse of the Bretton Woods system.</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Until World War I, most countries were on the </w:t>
      </w:r>
      <w:r>
        <w:fldChar w:fldCharType="begin"/>
      </w:r>
      <w:r>
        <w:instrText xml:space="preserve"> HYPERLINK "https://www.investopedia.com/terms/g/goldstandard.asp" </w:instrText>
      </w:r>
      <w:r>
        <w:fldChar w:fldCharType="separate"/>
      </w:r>
      <w:r>
        <w:rPr>
          <w:rFonts w:ascii="Times New Roman" w:hAnsi="Times New Roman" w:eastAsia="Times New Roman" w:cs="Times New Roman"/>
          <w:color w:val="191919" w:themeColor="background1" w:themeShade="1A"/>
          <w:sz w:val="28"/>
          <w:szCs w:val="28"/>
          <w:lang w:val="en-US" w:eastAsia="ru-RU"/>
        </w:rPr>
        <w:t>gold standard</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in which they guaranteed to redeem their currency for its value in gold. But to pay for the war, many went off the gold standard. This caused hyperinflation as money supply exceeded demand. After the war, countries returned to the gold standard.</w:t>
      </w:r>
    </w:p>
    <w:p>
      <w:pP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During the Great Depression in response to the 1929 stock market crash, foreign exchange and commodities trading increased, which raised gold prices, so people exchanged dollars for gold. The Federal Reserve raised interest rates to defend the gold standard, worsening the crisis. The Bretton Woods system gave countries more flexibility than strict adherence to the gold standard, with less volatility than with no standard. A member country could change its currency's value to correct any disequilibrium in its current account balance.</w:t>
      </w:r>
    </w:p>
    <w:p>
      <w:pPr>
        <w:pStyle w:val="18"/>
        <w:numPr>
          <w:ilvl w:val="0"/>
          <w:numId w:val="37"/>
        </w:numPr>
        <w:tabs>
          <w:tab w:val="left" w:pos="426"/>
        </w:tabs>
        <w:spacing w:after="0" w:line="240" w:lineRule="auto"/>
        <w:ind w:left="0" w:firstLine="0"/>
        <w:rPr>
          <w:rFonts w:ascii="Times New Roman" w:hAnsi="Times New Roman" w:eastAsia="Times New Roman" w:cs="Times New Roman"/>
          <w:b/>
          <w:color w:val="191919" w:themeColor="background1" w:themeShade="1A"/>
          <w:sz w:val="28"/>
          <w:szCs w:val="28"/>
          <w:lang w:val="en-US" w:eastAsia="ru-RU"/>
        </w:rPr>
      </w:pPr>
      <w:r>
        <w:rPr>
          <w:rFonts w:ascii="Times New Roman" w:hAnsi="Times New Roman" w:eastAsia="Times New Roman" w:cs="Times New Roman"/>
          <w:b/>
          <w:color w:val="191919" w:themeColor="background1" w:themeShade="1A"/>
          <w:sz w:val="28"/>
          <w:szCs w:val="28"/>
          <w:lang w:val="en-US" w:eastAsia="ru-RU"/>
        </w:rPr>
        <w:t>Stabilization Fund</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 stabilization fund is a mechanism set up by a government or central bank to insulate the domestic economy from large influxes of revenue, such as from </w:t>
      </w:r>
      <w:r>
        <w:fldChar w:fldCharType="begin"/>
      </w:r>
      <w:r>
        <w:instrText xml:space="preserve"> HYPERLINK "https://www.investopedia.com/terms/c/commodity.asp" </w:instrText>
      </w:r>
      <w:r>
        <w:fldChar w:fldCharType="separate"/>
      </w:r>
      <w:r>
        <w:rPr>
          <w:rFonts w:ascii="Times New Roman" w:hAnsi="Times New Roman" w:eastAsia="Times New Roman" w:cs="Times New Roman"/>
          <w:color w:val="191919" w:themeColor="background1" w:themeShade="1A"/>
          <w:sz w:val="28"/>
          <w:szCs w:val="28"/>
          <w:lang w:val="en-US" w:eastAsia="ru-RU"/>
        </w:rPr>
        <w:t>commodities</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such as oil. A primary motivation is maintaining steady government revenue in the face of major commodity price fluctuations as well as the avoidance of </w:t>
      </w:r>
      <w:r>
        <w:fldChar w:fldCharType="begin"/>
      </w:r>
      <w:r>
        <w:instrText xml:space="preserve"> HYPERLINK "https://www.investopedia.com/terms/i/inflation.asp" </w:instrText>
      </w:r>
      <w:r>
        <w:fldChar w:fldCharType="separate"/>
      </w:r>
      <w:r>
        <w:rPr>
          <w:rFonts w:ascii="Times New Roman" w:hAnsi="Times New Roman" w:eastAsia="Times New Roman" w:cs="Times New Roman"/>
          <w:color w:val="191919" w:themeColor="background1" w:themeShade="1A"/>
          <w:sz w:val="28"/>
          <w:szCs w:val="28"/>
          <w:lang w:val="en-US" w:eastAsia="ru-RU"/>
        </w:rPr>
        <w:t>inflation</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This usually is accomplished through the purchase of foreign denominated debt, especially if the goal is to prevent overheating in the domestic economy. The first such fund was in Kuwait in 1953. Stabilization funds since have been set up for Russia, Norway, Chile, Oman, Kuwait, Papua New Guinea the UAE and Iran. They also may be set up for exchange rate stabilization as in the European financial Stability Facility, the UK Exchange Equalization Account and the US Exchange Stabilization Fund.</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Dependence on revenue from natural resources tends to cause fiscal volatility and macroeconomic instability. Reducing this dependence is made difficult by the so-called </w:t>
      </w:r>
      <w:r>
        <w:fldChar w:fldCharType="begin"/>
      </w:r>
      <w:r>
        <w:instrText xml:space="preserve"> HYPERLINK "https://www.investopedia.com/terms/d/dutchdisease.asp" </w:instrText>
      </w:r>
      <w:r>
        <w:fldChar w:fldCharType="separate"/>
      </w:r>
      <w:r>
        <w:rPr>
          <w:rFonts w:ascii="Times New Roman" w:hAnsi="Times New Roman" w:eastAsia="Times New Roman" w:cs="Times New Roman"/>
          <w:color w:val="191919" w:themeColor="background1" w:themeShade="1A"/>
          <w:sz w:val="28"/>
          <w:szCs w:val="28"/>
          <w:lang w:val="en-US" w:eastAsia="ru-RU"/>
        </w:rPr>
        <w:t>Dutch Disease</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which occurs when the production of natural resources attracts large foreign capital inflows. This in turn causes appreciation of the real </w:t>
      </w:r>
      <w:r>
        <w:fldChar w:fldCharType="begin"/>
      </w:r>
      <w:r>
        <w:instrText xml:space="preserve"> HYPERLINK "https://www.investopedia.com/terms/e/exchangerate.asp" </w:instrText>
      </w:r>
      <w:r>
        <w:fldChar w:fldCharType="separate"/>
      </w:r>
      <w:r>
        <w:rPr>
          <w:rFonts w:ascii="Times New Roman" w:hAnsi="Times New Roman" w:eastAsia="Times New Roman" w:cs="Times New Roman"/>
          <w:color w:val="191919" w:themeColor="background1" w:themeShade="1A"/>
          <w:sz w:val="28"/>
          <w:szCs w:val="28"/>
          <w:lang w:val="en-US" w:eastAsia="ru-RU"/>
        </w:rPr>
        <w:t>exchange rates</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and weakens the competitiveness of domestic tradable sectors. The current account deteriorates, making the economies vulnerable to price swings. In addition, governments of resource-rich economies, especially those lacking strong institutional and legal framework, tend to make more-than-proportional increases in discretionary spending following commodity-driven fund inflows.</w:t>
      </w:r>
    </w:p>
    <w:p>
      <w:pPr>
        <w:spacing w:after="0" w:line="240" w:lineRule="auto"/>
        <w:ind w:firstLine="567"/>
        <w:jc w:val="both"/>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color w:val="191919" w:themeColor="background1" w:themeShade="1A"/>
          <w:sz w:val="28"/>
          <w:szCs w:val="28"/>
          <w:lang w:val="en-US" w:eastAsia="ru-RU"/>
        </w:rPr>
        <w:t>Studies have shown that stabilization funds contribute to smoothing government expenditure. Expenditure </w:t>
      </w:r>
      <w:r>
        <w:fldChar w:fldCharType="begin"/>
      </w:r>
      <w:r>
        <w:instrText xml:space="preserve"> HYPERLINK "https://www.investopedia.com/terms/v/volatility.asp" </w:instrText>
      </w:r>
      <w:r>
        <w:fldChar w:fldCharType="separate"/>
      </w:r>
      <w:r>
        <w:rPr>
          <w:rFonts w:ascii="Times New Roman" w:hAnsi="Times New Roman" w:eastAsia="Times New Roman" w:cs="Times New Roman"/>
          <w:color w:val="191919" w:themeColor="background1" w:themeShade="1A"/>
          <w:sz w:val="28"/>
          <w:szCs w:val="28"/>
          <w:lang w:val="en-US" w:eastAsia="ru-RU"/>
        </w:rPr>
        <w:t>volatility</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in countries with stabilization funds can be 10-15 percent percent lower than that in economies without them. Stabilization funds can smooth expenditure volatility. A strong institutional framework is key in managing stabilization funds and their resources. </w:t>
      </w:r>
      <w:r>
        <w:fldChar w:fldCharType="begin"/>
      </w:r>
      <w:r>
        <w:instrText xml:space="preserve"> HYPERLINK "https://www.investopedia.com/terms/e/export.asp" </w:instrText>
      </w:r>
      <w:r>
        <w:fldChar w:fldCharType="separate"/>
      </w:r>
      <w:r>
        <w:rPr>
          <w:rFonts w:ascii="Times New Roman" w:hAnsi="Times New Roman" w:eastAsia="Times New Roman" w:cs="Times New Roman"/>
          <w:color w:val="191919" w:themeColor="background1" w:themeShade="1A"/>
          <w:sz w:val="28"/>
          <w:szCs w:val="28"/>
          <w:lang w:val="en-US" w:eastAsia="ru-RU"/>
        </w:rPr>
        <w:t>Export</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xml:space="preserve"> product diversification tends to reduce expenditure volatility. Countries with better-managed real expenditure have less volatile public spending. And then, domestic and international financial markets can function as buffers to smooth expenditures. </w:t>
      </w:r>
      <w:r>
        <w:rPr>
          <w:rFonts w:ascii="Times New Roman" w:hAnsi="Times New Roman" w:eastAsia="Times New Roman" w:cs="Times New Roman"/>
          <w:color w:val="191919" w:themeColor="background1" w:themeShade="1A"/>
          <w:sz w:val="28"/>
          <w:szCs w:val="28"/>
          <w:lang w:eastAsia="ru-RU"/>
        </w:rPr>
        <w:t>Better institutions have been shown to reduce fiscal volatility.</w:t>
      </w:r>
    </w:p>
    <w:p>
      <w:pPr>
        <w:pStyle w:val="18"/>
        <w:numPr>
          <w:ilvl w:val="0"/>
          <w:numId w:val="37"/>
        </w:numPr>
        <w:spacing w:after="0" w:line="240" w:lineRule="auto"/>
        <w:ind w:left="0" w:firstLine="0"/>
        <w:rPr>
          <w:rFonts w:ascii="Times New Roman" w:hAnsi="Times New Roman" w:eastAsia="Times New Roman" w:cs="Times New Roman"/>
          <w:b/>
          <w:color w:val="191919" w:themeColor="background1" w:themeShade="1A"/>
          <w:sz w:val="28"/>
          <w:szCs w:val="28"/>
          <w:lang w:val="en-US" w:eastAsia="ru-RU"/>
        </w:rPr>
      </w:pPr>
      <w:r>
        <w:rPr>
          <w:rFonts w:ascii="Times New Roman" w:hAnsi="Times New Roman" w:eastAsia="Times New Roman" w:cs="Times New Roman"/>
          <w:b/>
          <w:color w:val="191919" w:themeColor="background1" w:themeShade="1A"/>
          <w:sz w:val="28"/>
          <w:szCs w:val="28"/>
          <w:lang w:val="en-US" w:eastAsia="ru-RU"/>
        </w:rPr>
        <w:t>International monetary systems</w:t>
      </w:r>
    </w:p>
    <w:p>
      <w:pPr>
        <w:shd w:val="clear" w:color="auto" w:fill="FFFFFF"/>
        <w:spacing w:after="0" w:line="240" w:lineRule="auto"/>
        <w:ind w:firstLine="567"/>
        <w:jc w:val="both"/>
        <w:textAlignment w:val="baseline"/>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International monetary system refers to a system that forms rules and standards for facilitating international trade among the nations.</w:t>
      </w:r>
    </w:p>
    <w:p>
      <w:pPr>
        <w:shd w:val="clear" w:color="auto" w:fill="FFFFFF"/>
        <w:spacing w:after="0" w:line="240" w:lineRule="auto"/>
        <w:ind w:firstLine="567"/>
        <w:jc w:val="both"/>
        <w:textAlignment w:val="baseline"/>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It helps in reallocating the capital and investment from one nation to another.</w:t>
      </w:r>
    </w:p>
    <w:p>
      <w:pPr>
        <w:shd w:val="clear" w:color="auto" w:fill="FFFFFF"/>
        <w:spacing w:after="0" w:line="240" w:lineRule="auto"/>
        <w:ind w:firstLine="567"/>
        <w:jc w:val="both"/>
        <w:textAlignment w:val="baseline"/>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It is the global network of the government and financial institutions that determine the exchange rate of different currencies for international trade. It is a governing body that sets rules and regulations by which different nations exchange currencies with each other.</w:t>
      </w:r>
    </w:p>
    <w:p>
      <w:pPr>
        <w:shd w:val="clear" w:color="auto" w:fill="FFFFFF"/>
        <w:spacing w:after="0" w:line="240" w:lineRule="auto"/>
        <w:ind w:firstLine="567"/>
        <w:jc w:val="both"/>
        <w:textAlignment w:val="baseline"/>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With the growing complexity in the international trade and financial market, the international monetary system is necessary to assign a standard value of the international currencies. The rules and regulations set by the international monetary system to regulate and control the exchange value of the currencies are agreed upon by the respective governments of the nations. Thus, the government’s stand may affect the decision making of the international monetary system. For example, change in the trade policy of a government may affect the international trade of goods and services.</w:t>
      </w:r>
    </w:p>
    <w:p>
      <w:pPr>
        <w:shd w:val="clear" w:color="auto" w:fill="FFFFFF"/>
        <w:spacing w:after="0" w:line="240" w:lineRule="auto"/>
        <w:ind w:firstLine="567"/>
        <w:jc w:val="both"/>
        <w:textAlignment w:val="baseline"/>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International monetary system motivates and encourages the nations to participate in the international trade to improve their BOP and minimize the trade deficit. It has grown over the years as a single architectural body with a vision to integrate the global economy. Some of the important achievements of the international monetary system over the years have been the establishment of World Bank and International Monetary Fund in the year 1944.</w:t>
      </w:r>
    </w:p>
    <w:p>
      <w:pPr>
        <w:shd w:val="clear" w:color="auto" w:fill="FFFFFF"/>
        <w:spacing w:after="0" w:line="240" w:lineRule="auto"/>
        <w:ind w:firstLine="567"/>
        <w:jc w:val="both"/>
        <w:textAlignment w:val="baseline"/>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establishment of IMF and World Bank is the result of the agreement among nations to set a body, which promotes and supports the international trade. Now, let’s discuss the evolution of international monetary system. Earlier in 1870 to 1914, trade was carried with the help of gold and silver without any institutional support. At that time, monetary system was decentralized and market based and money played a minor role as compared to gold in international trade.</w:t>
      </w:r>
    </w:p>
    <w:p>
      <w:pPr>
        <w:shd w:val="clear" w:color="auto" w:fill="FFFFFF"/>
        <w:spacing w:after="0" w:line="240" w:lineRule="auto"/>
        <w:ind w:firstLine="567"/>
        <w:jc w:val="both"/>
        <w:textAlignment w:val="baseline"/>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use of gold declined after World War I as war increased expenditure and inflation. In such a scenario, countries planned to revive the standard of gold but failed due to great depression. Thus, in 1944, 730 representatives of 44 nations met at Bretton Woods, New Hampshire, United States to create a new international monetary system.</w:t>
      </w:r>
    </w:p>
    <w:p>
      <w:pPr>
        <w:shd w:val="clear" w:color="auto" w:fill="FFFFFF"/>
        <w:spacing w:after="0" w:line="240" w:lineRule="auto"/>
        <w:ind w:firstLine="567"/>
        <w:jc w:val="both"/>
        <w:textAlignment w:val="baseline"/>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This was called as the Bretton Woods system, which became a turning point in the history of international trade. The aim of new international monetary system is to create a stabilized international currency system and ensure a monetary stability for all the nations.</w:t>
      </w:r>
    </w:p>
    <w:p>
      <w:pPr>
        <w:shd w:val="clear" w:color="auto" w:fill="FFFFFF"/>
        <w:spacing w:after="0" w:line="240" w:lineRule="auto"/>
        <w:ind w:firstLine="567"/>
        <w:jc w:val="both"/>
        <w:textAlignment w:val="baseline"/>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It was decided that since the United States held most of the world’s gold, thus all the nations would determine the values of their currencies in terms of dollar. The central banks of nations were given the task of maintaining fixed exchange rates with respect to dollar for each currency.</w:t>
      </w:r>
    </w:p>
    <w:p>
      <w:pPr>
        <w:shd w:val="clear" w:color="auto" w:fill="FFFFFF"/>
        <w:spacing w:after="0" w:line="240" w:lineRule="auto"/>
        <w:ind w:firstLine="567"/>
        <w:jc w:val="both"/>
        <w:textAlignment w:val="baseline"/>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Bretton Woods system ended in 1971 as the trade deficit and growing inflation undermined the value of dollar in the whole world. In 1973, the floating exchange rate system, also known as flexible exchange rate system was developed that was market based.</w:t>
      </w:r>
    </w:p>
    <w:p>
      <w:pPr>
        <w:shd w:val="clear" w:color="auto" w:fill="FFFFFF"/>
        <w:spacing w:after="0" w:line="240" w:lineRule="auto"/>
        <w:textAlignment w:val="baseline"/>
        <w:rPr>
          <w:rFonts w:ascii="Times New Roman" w:hAnsi="Times New Roman" w:eastAsia="Times New Roman" w:cs="Times New Roman"/>
          <w:b/>
          <w:color w:val="191919" w:themeColor="background1" w:themeShade="1A"/>
          <w:sz w:val="28"/>
          <w:szCs w:val="28"/>
          <w:lang w:val="en-US" w:eastAsia="ru-RU"/>
        </w:rPr>
      </w:pPr>
      <w:r>
        <w:rPr>
          <w:rFonts w:ascii="Times New Roman" w:hAnsi="Times New Roman" w:eastAsia="Times New Roman" w:cs="Times New Roman"/>
          <w:b/>
          <w:color w:val="191919" w:themeColor="background1" w:themeShade="1A"/>
          <w:sz w:val="28"/>
          <w:szCs w:val="28"/>
          <w:lang w:val="en-US" w:eastAsia="ru-RU"/>
        </w:rPr>
        <w:t>5. Global currencies. Virtual currency concept</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Virtual currency is a type of digital currency that is only available in electronic form and not in physical form. It is stored and transacted in only through designated software, mobile or computer applications, or through dedicated </w:t>
      </w:r>
      <w:r>
        <w:fldChar w:fldCharType="begin"/>
      </w:r>
      <w:r>
        <w:instrText xml:space="preserve"> HYPERLINK "https://www.investopedia.com/terms/d/digital-wallet.asp" </w:instrText>
      </w:r>
      <w:r>
        <w:fldChar w:fldCharType="separate"/>
      </w:r>
      <w:r>
        <w:rPr>
          <w:rFonts w:ascii="Times New Roman" w:hAnsi="Times New Roman" w:eastAsia="Times New Roman" w:cs="Times New Roman"/>
          <w:color w:val="191919" w:themeColor="background1" w:themeShade="1A"/>
          <w:sz w:val="28"/>
          <w:szCs w:val="28"/>
          <w:lang w:val="en-US" w:eastAsia="ru-RU"/>
        </w:rPr>
        <w:t>digital wallets</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and the transactions occur over the Internet or over secure dedicated networks. Virtual currency is considered to be a subset of the digital currency group, which also includes </w:t>
      </w:r>
      <w:r>
        <w:fldChar w:fldCharType="begin"/>
      </w:r>
      <w:r>
        <w:rPr>
          <w:lang w:val="en-US"/>
        </w:rPr>
        <w:instrText xml:space="preserve"> HYPERLINK "https://www.investopedia.com/terms/c/cryptocurrency.asp" </w:instrText>
      </w:r>
      <w:r>
        <w:fldChar w:fldCharType="separate"/>
      </w:r>
      <w:r>
        <w:rPr>
          <w:rFonts w:ascii="Times New Roman" w:hAnsi="Times New Roman" w:eastAsia="Times New Roman" w:cs="Times New Roman"/>
          <w:color w:val="191919" w:themeColor="background1" w:themeShade="1A"/>
          <w:sz w:val="28"/>
          <w:szCs w:val="28"/>
          <w:lang w:val="en-US" w:eastAsia="ru-RU"/>
        </w:rPr>
        <w:t>cryptocurrencies</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Virtual currency can be defined as an electronic representation of monetary value that may be issued, managed and controlled by private issuers, developers, or the founding organization. Such virtual currencies are often represented in terms of tokens and may remain unregulated without a legal tender. Unlike regular money, it relies on a system of trust and may not be issued by a </w:t>
      </w:r>
      <w:r>
        <w:fldChar w:fldCharType="begin"/>
      </w:r>
      <w:r>
        <w:instrText xml:space="preserve"> HYPERLINK "https://www.investopedia.com/terms/c/centralbank.asp" </w:instrText>
      </w:r>
      <w:r>
        <w:fldChar w:fldCharType="separate"/>
      </w:r>
      <w:r>
        <w:rPr>
          <w:rFonts w:ascii="Times New Roman" w:hAnsi="Times New Roman" w:eastAsia="Times New Roman" w:cs="Times New Roman"/>
          <w:color w:val="191919" w:themeColor="background1" w:themeShade="1A"/>
          <w:sz w:val="28"/>
          <w:szCs w:val="28"/>
          <w:lang w:val="en-US" w:eastAsia="ru-RU"/>
        </w:rPr>
        <w:t>central bank</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or other banking regulatory authority. Due to the lack of a centralized regulatory authority, such virtual currencies are prone to wide swings in their valuations. They derive their value based on the underlying mechanism, like mining in cases of cryptocurrencies, or the backing by the underlying asset.</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term came into existence around 2012, when the </w:t>
      </w:r>
      <w:r>
        <w:fldChar w:fldCharType="begin"/>
      </w:r>
      <w:r>
        <w:instrText xml:space="preserve"> HYPERLINK "https://www.investopedia.com/terms/e/europeancentralbank.asp" </w:instrText>
      </w:r>
      <w:r>
        <w:fldChar w:fldCharType="separate"/>
      </w:r>
      <w:r>
        <w:rPr>
          <w:rFonts w:ascii="Times New Roman" w:hAnsi="Times New Roman" w:eastAsia="Times New Roman" w:cs="Times New Roman"/>
          <w:color w:val="191919" w:themeColor="background1" w:themeShade="1A"/>
          <w:sz w:val="28"/>
          <w:szCs w:val="28"/>
          <w:lang w:val="en-US" w:eastAsia="ru-RU"/>
        </w:rPr>
        <w:t>European Central Bank (ECB)</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defined virtual currency to classify types of</w:t>
      </w:r>
      <w:r>
        <w:rPr>
          <w:rFonts w:ascii="Times New Roman" w:hAnsi="Times New Roman" w:eastAsia="Times New Roman" w:cs="Times New Roman"/>
          <w:i/>
          <w:iCs/>
          <w:color w:val="191919" w:themeColor="background1" w:themeShade="1A"/>
          <w:sz w:val="28"/>
          <w:szCs w:val="28"/>
          <w:lang w:val="en-US" w:eastAsia="ru-RU"/>
        </w:rPr>
        <w:t> </w:t>
      </w:r>
      <w:r>
        <w:rPr>
          <w:rFonts w:ascii="Times New Roman" w:hAnsi="Times New Roman" w:eastAsia="Times New Roman" w:cs="Times New Roman"/>
          <w:color w:val="191919" w:themeColor="background1" w:themeShade="1A"/>
          <w:sz w:val="28"/>
          <w:szCs w:val="28"/>
          <w:lang w:val="en-US" w:eastAsia="ru-RU"/>
        </w:rPr>
        <w:t>“digital money in an unregulated environment, issued and controlled by its developers and used as a payment method among members of a specific virtual community,” according to </w:t>
      </w:r>
      <w:r>
        <w:fldChar w:fldCharType="begin"/>
      </w:r>
      <w:r>
        <w:rPr>
          <w:lang w:val="en-US"/>
        </w:rPr>
        <w:instrText xml:space="preserve"> HYPERLINK "https://news.bitcoin.com/is-bitcoin-a-digital-currency-or-a/" </w:instrText>
      </w:r>
      <w:r>
        <w:fldChar w:fldCharType="separate"/>
      </w:r>
      <w:r>
        <w:rPr>
          <w:rFonts w:ascii="Times New Roman" w:hAnsi="Times New Roman" w:eastAsia="Times New Roman" w:cs="Times New Roman"/>
          <w:color w:val="191919" w:themeColor="background1" w:themeShade="1A"/>
          <w:sz w:val="28"/>
          <w:szCs w:val="28"/>
          <w:lang w:val="en-US" w:eastAsia="ru-RU"/>
        </w:rPr>
        <w:t>Bitcoins News</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Along with use by the common public, a virtual currency can have restricted usage, and it may be in circulation only among the members of a specific online community or a virtual group of users who transact online on dedicated networks. Virtual currencies are mostly used for peer-to-peer payments and are finding increasing use for purchase of goods and services.</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Digital currency is the overall superset that includes virtual currency, which in turn includes cryptocurrencies.</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Compared to a virtual currency, a digital currency covers a larger group that represents monetary assets in digital form. Digital currency can be regulated or unregulated. In the former case, it can be denominated to a sovereign currency – that is, a country’s central bank can issue a digital form of its fiat currency notes. On the other hand, a virtual currency often remains unregulated and hence constitutes a type of digital currency.</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Cryptocurrencies like Bitcoin and Ethereum are considered to be a part of the virtual currency group. A cryptocurrency uses cryptography technology that keeps the transactions secure and authentic, and also helps to manage and control the creation of new currency units. Such cryptocurrencies exist and are transacted over dedicated blockchain based networks which are open to the common public. Anyone can join and start transacting in cryptocurrencies. </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center"/>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Questions:</w:t>
      </w:r>
    </w:p>
    <w:p>
      <w:pPr>
        <w:pStyle w:val="19"/>
        <w:jc w:val="both"/>
        <w:rPr>
          <w:color w:val="191919" w:themeColor="background1" w:themeShade="1A"/>
          <w:sz w:val="28"/>
          <w:szCs w:val="28"/>
          <w:lang w:val="en-US"/>
        </w:rPr>
      </w:pPr>
      <w:r>
        <w:rPr>
          <w:color w:val="191919" w:themeColor="background1" w:themeShade="1A"/>
          <w:sz w:val="28"/>
          <w:szCs w:val="28"/>
          <w:lang w:val="en-US"/>
        </w:rPr>
        <w:t>Can you tell about the Liquidity provision?</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describe about the money, interest rates and exchange rates.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explain the National currency Exchange rates and international transactions?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explain the monetary reserves?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explain the Stabilization Fund?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explain the International monetary systems?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describe about Global currencies? </w:t>
      </w:r>
    </w:p>
    <w:p>
      <w:pPr>
        <w:shd w:val="clear" w:color="auto" w:fill="FFFFFF"/>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Can you describe</w:t>
      </w:r>
      <w:r>
        <w:rPr>
          <w:color w:val="191919" w:themeColor="background1" w:themeShade="1A"/>
          <w:sz w:val="28"/>
          <w:szCs w:val="28"/>
          <w:lang w:val="en-US"/>
        </w:rPr>
        <w:t xml:space="preserve"> </w:t>
      </w:r>
      <w:r>
        <w:rPr>
          <w:rFonts w:ascii="Times New Roman" w:hAnsi="Times New Roman" w:cs="Times New Roman"/>
          <w:color w:val="191919" w:themeColor="background1" w:themeShade="1A"/>
          <w:sz w:val="28"/>
          <w:szCs w:val="28"/>
          <w:lang w:val="en-US"/>
        </w:rPr>
        <w:t>the Virtual currency concept?</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References:</w:t>
      </w:r>
    </w:p>
    <w:p>
      <w:pPr>
        <w:pStyle w:val="18"/>
        <w:numPr>
          <w:ilvl w:val="0"/>
          <w:numId w:val="38"/>
        </w:numPr>
        <w:tabs>
          <w:tab w:val="left" w:pos="426"/>
        </w:tabs>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iCs/>
          <w:color w:val="191919" w:themeColor="background1" w:themeShade="1A"/>
          <w:sz w:val="28"/>
          <w:szCs w:val="28"/>
          <w:lang w:val="en-US" w:eastAsia="ru-RU"/>
        </w:rPr>
        <w:t>Phelan, Ben (7 Jan 2017). </w:t>
      </w:r>
      <w:r>
        <w:fldChar w:fldCharType="begin"/>
      </w:r>
      <w:r>
        <w:instrText xml:space="preserve"> HYPERLINK "http://www.pbs.org/wgbh/roadshow/fts/corpuschristi_201205A19.html" </w:instrText>
      </w:r>
      <w:r>
        <w:fldChar w:fldCharType="separate"/>
      </w:r>
      <w:r>
        <w:rPr>
          <w:rFonts w:ascii="Times New Roman" w:hAnsi="Times New Roman" w:eastAsia="Times New Roman" w:cs="Times New Roman"/>
          <w:iCs/>
          <w:color w:val="191919" w:themeColor="background1" w:themeShade="1A"/>
          <w:sz w:val="28"/>
          <w:szCs w:val="28"/>
          <w:lang w:val="en-US" w:eastAsia="ru-RU"/>
        </w:rPr>
        <w:t>"Dutch East India Company: The World's First Multinational"</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xml:space="preserve">. </w:t>
      </w:r>
      <w:r>
        <w:fldChar w:fldCharType="begin"/>
      </w:r>
      <w:r>
        <w:instrText xml:space="preserve"> HYPERLINK "https://en.wikipedia.org/wiki/PBS.org" \o "PBS.org" </w:instrText>
      </w:r>
      <w:r>
        <w:fldChar w:fldCharType="separate"/>
      </w:r>
      <w:r>
        <w:rPr>
          <w:rFonts w:ascii="Times New Roman" w:hAnsi="Times New Roman" w:eastAsia="Times New Roman" w:cs="Times New Roman"/>
          <w:iCs/>
          <w:color w:val="191919" w:themeColor="background1" w:themeShade="1A"/>
          <w:sz w:val="28"/>
          <w:szCs w:val="28"/>
          <w:lang w:eastAsia="ru-RU"/>
        </w:rPr>
        <w:t>PBS.org</w:t>
      </w:r>
      <w:r>
        <w:rPr>
          <w:rFonts w:ascii="Times New Roman" w:hAnsi="Times New Roman" w:eastAsia="Times New Roman" w:cs="Times New Roman"/>
          <w:iCs/>
          <w:color w:val="191919" w:themeColor="background1" w:themeShade="1A"/>
          <w:sz w:val="28"/>
          <w:szCs w:val="28"/>
          <w:lang w:eastAsia="ru-RU"/>
        </w:rPr>
        <w:fldChar w:fldCharType="end"/>
      </w:r>
      <w:r>
        <w:rPr>
          <w:rFonts w:ascii="Times New Roman" w:hAnsi="Times New Roman" w:eastAsia="Times New Roman" w:cs="Times New Roman"/>
          <w:iCs/>
          <w:color w:val="191919" w:themeColor="background1" w:themeShade="1A"/>
          <w:sz w:val="28"/>
          <w:szCs w:val="28"/>
          <w:lang w:eastAsia="ru-RU"/>
        </w:rPr>
        <w:t>. Retrieved 8 August 2017.</w:t>
      </w:r>
    </w:p>
    <w:p>
      <w:pPr>
        <w:pStyle w:val="18"/>
        <w:numPr>
          <w:ilvl w:val="0"/>
          <w:numId w:val="38"/>
        </w:numPr>
        <w:shd w:val="clear" w:color="auto" w:fill="FFFFFF"/>
        <w:tabs>
          <w:tab w:val="left" w:pos="426"/>
        </w:tabs>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iCs/>
          <w:color w:val="191919" w:themeColor="background1" w:themeShade="1A"/>
          <w:sz w:val="28"/>
          <w:szCs w:val="28"/>
          <w:lang w:val="en-US" w:eastAsia="ru-RU"/>
        </w:rPr>
        <w:t xml:space="preserve">Hagel, John; Brown, John Seely (12 March 2016). </w:t>
      </w:r>
      <w:r>
        <w:fldChar w:fldCharType="begin"/>
      </w:r>
      <w:r>
        <w:instrText xml:space="preserve"> HYPERLINK "https://www2.deloitte.com/insights/us/en/topics/innovation/institutional-innovation.html" </w:instrText>
      </w:r>
      <w:r>
        <w:fldChar w:fldCharType="separate"/>
      </w:r>
      <w:r>
        <w:rPr>
          <w:rFonts w:ascii="Times New Roman" w:hAnsi="Times New Roman" w:eastAsia="Times New Roman" w:cs="Times New Roman"/>
          <w:iCs/>
          <w:color w:val="191919" w:themeColor="background1" w:themeShade="1A"/>
          <w:sz w:val="28"/>
          <w:szCs w:val="28"/>
          <w:lang w:val="en-US" w:eastAsia="ru-RU"/>
        </w:rPr>
        <w:t>"Institutional Innovation: Creating Smarter Organizations"</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xml:space="preserve">. </w:t>
      </w:r>
      <w:r>
        <w:fldChar w:fldCharType="begin"/>
      </w:r>
      <w:r>
        <w:instrText xml:space="preserve"> HYPERLINK "https://en.wikipedia.org/wiki/Deloitte" \o "Deloitte" </w:instrText>
      </w:r>
      <w:r>
        <w:fldChar w:fldCharType="separate"/>
      </w:r>
      <w:r>
        <w:rPr>
          <w:rFonts w:ascii="Times New Roman" w:hAnsi="Times New Roman" w:eastAsia="Times New Roman" w:cs="Times New Roman"/>
          <w:iCs/>
          <w:color w:val="191919" w:themeColor="background1" w:themeShade="1A"/>
          <w:sz w:val="28"/>
          <w:szCs w:val="28"/>
          <w:lang w:val="en-US" w:eastAsia="ru-RU"/>
        </w:rPr>
        <w:t>Deloitte Insights</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w:t>
      </w:r>
    </w:p>
    <w:p>
      <w:pPr>
        <w:pStyle w:val="18"/>
        <w:numPr>
          <w:ilvl w:val="0"/>
          <w:numId w:val="38"/>
        </w:numPr>
        <w:shd w:val="clear" w:color="auto" w:fill="FFFFFF"/>
        <w:tabs>
          <w:tab w:val="left" w:pos="426"/>
        </w:tabs>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iCs/>
          <w:color w:val="191919" w:themeColor="background1" w:themeShade="1A"/>
          <w:sz w:val="28"/>
          <w:szCs w:val="28"/>
          <w:lang w:val="en-US" w:eastAsia="ru-RU"/>
        </w:rPr>
        <w:t xml:space="preserve">Roberts, Keith (15 March 2016). </w:t>
      </w:r>
      <w:r>
        <w:fldChar w:fldCharType="begin"/>
      </w:r>
      <w:r>
        <w:instrText xml:space="preserve"> HYPERLINK "http://www.middlewisconsin.org/corporate-colonization-of-wisconsin-part-4/" </w:instrText>
      </w:r>
      <w:r>
        <w:fldChar w:fldCharType="separate"/>
      </w:r>
      <w:r>
        <w:rPr>
          <w:rFonts w:ascii="Times New Roman" w:hAnsi="Times New Roman" w:eastAsia="Times New Roman" w:cs="Times New Roman"/>
          <w:iCs/>
          <w:color w:val="191919" w:themeColor="background1" w:themeShade="1A"/>
          <w:sz w:val="28"/>
          <w:szCs w:val="28"/>
          <w:lang w:val="en-US" w:eastAsia="ru-RU"/>
        </w:rPr>
        <w:t>"Corporate Colonization of Wisconsin, Part IV - The Dutch East India Company and the Koch Wisconsin Company"</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MiddleWisconsin.org. Retrieved 25 May 2018.</w:t>
      </w:r>
    </w:p>
    <w:p>
      <w:pPr>
        <w:pStyle w:val="18"/>
        <w:numPr>
          <w:ilvl w:val="0"/>
          <w:numId w:val="38"/>
        </w:numPr>
        <w:shd w:val="clear" w:color="auto" w:fill="FFFFFF"/>
        <w:tabs>
          <w:tab w:val="left" w:pos="426"/>
        </w:tabs>
        <w:spacing w:after="0" w:line="240" w:lineRule="auto"/>
        <w:jc w:val="both"/>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iCs/>
          <w:color w:val="191919" w:themeColor="background1" w:themeShade="1A"/>
          <w:sz w:val="28"/>
          <w:szCs w:val="28"/>
          <w:lang w:val="en-US" w:eastAsia="ru-RU"/>
        </w:rPr>
        <w:t xml:space="preserve">Grenville, Stephen (3 November 2017). </w:t>
      </w:r>
      <w:r>
        <w:fldChar w:fldCharType="begin"/>
      </w:r>
      <w:r>
        <w:instrText xml:space="preserve"> HYPERLINK "https://www.lowyinstitute.org/the-interpreter/starting-point-first-global-supply-chain" </w:instrText>
      </w:r>
      <w:r>
        <w:fldChar w:fldCharType="separate"/>
      </w:r>
      <w:r>
        <w:rPr>
          <w:rFonts w:ascii="Times New Roman" w:hAnsi="Times New Roman" w:eastAsia="Times New Roman" w:cs="Times New Roman"/>
          <w:iCs/>
          <w:color w:val="191919" w:themeColor="background1" w:themeShade="1A"/>
          <w:sz w:val="28"/>
          <w:szCs w:val="28"/>
          <w:lang w:val="en-US" w:eastAsia="ru-RU"/>
        </w:rPr>
        <w:t>"The first global supply chain"</w:t>
      </w:r>
      <w:r>
        <w:rPr>
          <w:rFonts w:ascii="Times New Roman" w:hAnsi="Times New Roman" w:eastAsia="Times New Roman" w:cs="Times New Roman"/>
          <w:iCs/>
          <w:color w:val="191919" w:themeColor="background1" w:themeShade="1A"/>
          <w:sz w:val="28"/>
          <w:szCs w:val="28"/>
          <w:lang w:val="en-US" w:eastAsia="ru-RU"/>
        </w:rPr>
        <w:fldChar w:fldCharType="end"/>
      </w:r>
      <w:r>
        <w:rPr>
          <w:rFonts w:ascii="Times New Roman" w:hAnsi="Times New Roman" w:eastAsia="Times New Roman" w:cs="Times New Roman"/>
          <w:iCs/>
          <w:color w:val="191919" w:themeColor="background1" w:themeShade="1A"/>
          <w:sz w:val="28"/>
          <w:szCs w:val="28"/>
          <w:lang w:val="en-US" w:eastAsia="ru-RU"/>
        </w:rPr>
        <w:t xml:space="preserve">. </w:t>
      </w:r>
      <w:r>
        <w:fldChar w:fldCharType="begin"/>
      </w:r>
      <w:r>
        <w:instrText xml:space="preserve"> HYPERLINK "https://en.wikipedia.org/wiki/Lowy_Institute" \o "Lowy Institute" </w:instrText>
      </w:r>
      <w:r>
        <w:fldChar w:fldCharType="separate"/>
      </w:r>
      <w:r>
        <w:rPr>
          <w:rFonts w:ascii="Times New Roman" w:hAnsi="Times New Roman" w:eastAsia="Times New Roman" w:cs="Times New Roman"/>
          <w:iCs/>
          <w:color w:val="191919" w:themeColor="background1" w:themeShade="1A"/>
          <w:sz w:val="28"/>
          <w:szCs w:val="28"/>
          <w:lang w:eastAsia="ru-RU"/>
        </w:rPr>
        <w:t>Lowy Institute</w:t>
      </w:r>
      <w:r>
        <w:rPr>
          <w:rFonts w:ascii="Times New Roman" w:hAnsi="Times New Roman" w:eastAsia="Times New Roman" w:cs="Times New Roman"/>
          <w:iCs/>
          <w:color w:val="191919" w:themeColor="background1" w:themeShade="1A"/>
          <w:sz w:val="28"/>
          <w:szCs w:val="28"/>
          <w:lang w:eastAsia="ru-RU"/>
        </w:rPr>
        <w:fldChar w:fldCharType="end"/>
      </w:r>
      <w:r>
        <w:rPr>
          <w:rFonts w:ascii="Times New Roman" w:hAnsi="Times New Roman" w:eastAsia="Times New Roman" w:cs="Times New Roman"/>
          <w:iCs/>
          <w:color w:val="191919" w:themeColor="background1" w:themeShade="1A"/>
          <w:sz w:val="28"/>
          <w:szCs w:val="28"/>
          <w:lang w:eastAsia="ru-RU"/>
        </w:rPr>
        <w:t>. Retrieved 28 May 201</w:t>
      </w:r>
      <w:r>
        <w:rPr>
          <w:rFonts w:ascii="Times New Roman" w:hAnsi="Times New Roman" w:eastAsia="Times New Roman" w:cs="Times New Roman"/>
          <w:iCs/>
          <w:color w:val="191919" w:themeColor="background1" w:themeShade="1A"/>
          <w:sz w:val="28"/>
          <w:szCs w:val="28"/>
          <w:lang w:val="en-US" w:eastAsia="ru-RU"/>
        </w:rPr>
        <w:t>7</w:t>
      </w:r>
      <w:r>
        <w:rPr>
          <w:rFonts w:ascii="Times New Roman" w:hAnsi="Times New Roman" w:eastAsia="Times New Roman" w:cs="Times New Roman"/>
          <w:iCs/>
          <w:color w:val="191919" w:themeColor="background1" w:themeShade="1A"/>
          <w:sz w:val="28"/>
          <w:szCs w:val="28"/>
          <w:lang w:eastAsia="ru-RU"/>
        </w:rPr>
        <w:t>.</w:t>
      </w: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pStyle w:val="19"/>
        <w:jc w:val="both"/>
        <w:rPr>
          <w:color w:val="191919" w:themeColor="background1" w:themeShade="1A"/>
          <w:sz w:val="28"/>
          <w:szCs w:val="28"/>
          <w:lang w:val="en-US"/>
        </w:rPr>
      </w:pPr>
      <w:r>
        <w:rPr>
          <w:b/>
          <w:color w:val="191919" w:themeColor="background1" w:themeShade="1A"/>
          <w:sz w:val="28"/>
          <w:szCs w:val="28"/>
          <w:lang w:val="en-US"/>
        </w:rPr>
        <w:t xml:space="preserve">Subject 12. </w:t>
      </w:r>
      <w:r>
        <w:rPr>
          <w:b/>
          <w:bCs/>
          <w:color w:val="191919" w:themeColor="background1" w:themeShade="1A"/>
          <w:sz w:val="28"/>
          <w:szCs w:val="28"/>
          <w:lang w:val="en-US"/>
        </w:rPr>
        <w:t xml:space="preserve">Global finance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Financial globalization: opportunity and crisis.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A link to macroeconomics. Theories of crises. Main drivers of economic growth.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Managing Global economic and financial crisis.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Regulation of international banking. BIS recommendations. </w:t>
      </w:r>
    </w:p>
    <w:p>
      <w:pPr>
        <w:spacing w:after="0" w:line="240" w:lineRule="auto"/>
        <w:rPr>
          <w:rFonts w:ascii="Times New Roman" w:hAnsi="Times New Roman" w:cs="Times New Roman"/>
          <w:color w:val="191919" w:themeColor="background1" w:themeShade="1A"/>
          <w:sz w:val="28"/>
          <w:szCs w:val="28"/>
          <w:lang w:val="en-US" w:eastAsia="ko-KR"/>
        </w:rPr>
      </w:pPr>
      <w:r>
        <w:rPr>
          <w:rFonts w:ascii="Times New Roman" w:hAnsi="Times New Roman" w:cs="Times New Roman"/>
          <w:color w:val="191919" w:themeColor="background1" w:themeShade="1A"/>
          <w:sz w:val="28"/>
          <w:szCs w:val="28"/>
          <w:lang w:val="en-US"/>
        </w:rPr>
        <w:t>Global financial regulatory cooperation.</w:t>
      </w:r>
    </w:p>
    <w:p>
      <w:pPr>
        <w:spacing w:after="0" w:line="240" w:lineRule="auto"/>
        <w:jc w:val="center"/>
        <w:rPr>
          <w:rFonts w:ascii="Times New Roman" w:hAnsi="Times New Roman" w:cs="Times New Roman"/>
          <w:color w:val="191919" w:themeColor="background1" w:themeShade="1A"/>
          <w:sz w:val="28"/>
          <w:szCs w:val="28"/>
          <w:lang w:val="en-US" w:eastAsia="ko-KR"/>
        </w:rPr>
      </w:pPr>
    </w:p>
    <w:p>
      <w:pPr>
        <w:pStyle w:val="18"/>
        <w:numPr>
          <w:ilvl w:val="0"/>
          <w:numId w:val="39"/>
        </w:numPr>
        <w:tabs>
          <w:tab w:val="left" w:pos="426"/>
          <w:tab w:val="left" w:pos="993"/>
        </w:tabs>
        <w:spacing w:after="0" w:line="240" w:lineRule="auto"/>
        <w:ind w:left="0" w:firstLine="0"/>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Financial globalization</w:t>
      </w:r>
      <w:r>
        <w:rPr>
          <w:rFonts w:ascii="Times New Roman" w:hAnsi="Times New Roman" w:cs="Times New Roman"/>
          <w:b/>
          <w:color w:val="191919" w:themeColor="background1" w:themeShade="1A"/>
          <w:sz w:val="28"/>
          <w:szCs w:val="28"/>
          <w:lang w:val="kk-KZ"/>
        </w:rPr>
        <w:t>:</w:t>
      </w:r>
      <w:r>
        <w:rPr>
          <w:rFonts w:ascii="Times New Roman" w:hAnsi="Times New Roman" w:cs="Times New Roman"/>
          <w:b/>
          <w:color w:val="191919" w:themeColor="background1" w:themeShade="1A"/>
          <w:sz w:val="28"/>
          <w:szCs w:val="28"/>
          <w:lang w:val="en-US"/>
        </w:rPr>
        <w:t xml:space="preserve"> opportunity and crisis</w:t>
      </w:r>
    </w:p>
    <w:p>
      <w:pPr>
        <w:pStyle w:val="18"/>
        <w:spacing w:after="0" w:line="240" w:lineRule="auto"/>
        <w:ind w:left="0" w:firstLine="567"/>
        <w:jc w:val="both"/>
        <w:rPr>
          <w:rStyle w:val="36"/>
          <w:rFonts w:ascii="Times New Roman" w:hAnsi="Times New Roman" w:cs="Times New Roman"/>
          <w:color w:val="191919" w:themeColor="background1" w:themeShade="1A"/>
          <w:sz w:val="28"/>
          <w:szCs w:val="28"/>
          <w:shd w:val="clear" w:color="auto" w:fill="FFFFFF"/>
          <w:lang w:val="en-US"/>
        </w:rPr>
      </w:pPr>
      <w:r>
        <w:rPr>
          <w:rStyle w:val="36"/>
          <w:rFonts w:ascii="Times New Roman" w:hAnsi="Times New Roman" w:cs="Times New Roman"/>
          <w:color w:val="191919" w:themeColor="background1" w:themeShade="1A"/>
          <w:sz w:val="28"/>
          <w:szCs w:val="28"/>
          <w:shd w:val="clear" w:color="auto" w:fill="FFFFFF"/>
          <w:lang w:val="en-US"/>
        </w:rPr>
        <w:t xml:space="preserve">The international Capital Market and the Gains from trade </w:t>
      </w:r>
      <w:r>
        <w:rPr>
          <w:rStyle w:val="36"/>
          <w:rFonts w:ascii="Times New Roman" w:hAnsi="Times New Roman" w:cs="Times New Roman"/>
          <w:color w:val="191919" w:themeColor="background1" w:themeShade="1A"/>
          <w:spacing w:val="-2"/>
          <w:sz w:val="28"/>
          <w:szCs w:val="28"/>
          <w:shd w:val="clear" w:color="auto" w:fill="FFFFFF"/>
          <w:lang w:val="en-US"/>
        </w:rPr>
        <w:t xml:space="preserve">International capital markets are a group of markets (in London, Tokyo, New York, Singapore, </w:t>
      </w:r>
      <w:r>
        <w:rPr>
          <w:rStyle w:val="36"/>
          <w:rFonts w:ascii="Times New Roman" w:hAnsi="Times New Roman" w:cs="Times New Roman"/>
          <w:color w:val="191919" w:themeColor="background1" w:themeShade="1A"/>
          <w:sz w:val="28"/>
          <w:szCs w:val="28"/>
          <w:shd w:val="clear" w:color="auto" w:fill="FFFFFF"/>
          <w:lang w:val="en-US"/>
        </w:rPr>
        <w:t xml:space="preserve">and other financial cities) that trade different types of financial and physical capital (assets), including stocks, bonds (government and corporate), bank deposits denominated in different currencies, commodities (like petroleum, wheat, bauxite, gold), forward contracts, futures contracts, swaps, options contracts, real estate and land, factories and equipment. How have international capital markets increased the gains from trade? When a buyer and a seller engage in a voluntary transaction, both receive something that they want and both can be made better off. A buyer and seller can trade goods or services for other goods or services, goods or services for assets, or assets for assets. </w:t>
      </w:r>
      <w:r>
        <w:rPr>
          <w:rStyle w:val="36"/>
          <w:rFonts w:ascii="Times New Roman" w:hAnsi="Times New Roman" w:cs="Times New Roman"/>
          <w:color w:val="191919" w:themeColor="background1" w:themeShade="1A"/>
          <w:spacing w:val="-5"/>
          <w:sz w:val="28"/>
          <w:szCs w:val="28"/>
          <w:shd w:val="clear" w:color="auto" w:fill="FFFFFF"/>
          <w:lang w:val="en-US"/>
        </w:rPr>
        <w:t xml:space="preserve">Risk Aversion. </w:t>
      </w:r>
      <w:r>
        <w:rPr>
          <w:rStyle w:val="36"/>
          <w:rFonts w:ascii="Times New Roman" w:hAnsi="Times New Roman" w:cs="Times New Roman"/>
          <w:color w:val="191919" w:themeColor="background1" w:themeShade="1A"/>
          <w:sz w:val="28"/>
          <w:szCs w:val="28"/>
          <w:shd w:val="clear" w:color="auto" w:fill="FFFFFF"/>
          <w:lang w:val="en-US"/>
        </w:rPr>
        <w:t xml:space="preserve">When individuals select assets, an important factor in their decisions is the riskiness of each </w:t>
      </w:r>
      <w:r>
        <w:rPr>
          <w:rStyle w:val="36"/>
          <w:rFonts w:ascii="Times New Roman" w:hAnsi="Times New Roman" w:cs="Times New Roman"/>
          <w:color w:val="191919" w:themeColor="background1" w:themeShade="1A"/>
          <w:spacing w:val="-2"/>
          <w:sz w:val="28"/>
          <w:szCs w:val="28"/>
          <w:shd w:val="clear" w:color="auto" w:fill="FFFFFF"/>
          <w:lang w:val="en-US"/>
        </w:rPr>
        <w:t xml:space="preserve">asset’s return. Other things equal, people dislike risk. Economists call this property of people’s </w:t>
      </w:r>
      <w:r>
        <w:rPr>
          <w:rStyle w:val="36"/>
          <w:rFonts w:ascii="Times New Roman" w:hAnsi="Times New Roman" w:cs="Times New Roman"/>
          <w:color w:val="191919" w:themeColor="background1" w:themeShade="1A"/>
          <w:sz w:val="28"/>
          <w:szCs w:val="28"/>
          <w:shd w:val="clear" w:color="auto" w:fill="FFFFFF"/>
          <w:lang w:val="en-US"/>
        </w:rPr>
        <w:t xml:space="preserve">preferences risk aversion. Suppose you are offered a gamble in which you win 1000 half the time but lose 1000 half the time. Since you are expected as likely to win as to lose the 1000, the average payoff on this gamble (its expected value) is ½ * 1000 + ½ *(-1000) = 0. If you are risk averse, you will not take the gamble because, for you, the possibility of losing 1000 outweighs the possibility that </w:t>
      </w:r>
      <w:r>
        <w:rPr>
          <w:rStyle w:val="36"/>
          <w:rFonts w:ascii="Times New Roman" w:hAnsi="Times New Roman" w:cs="Times New Roman"/>
          <w:color w:val="191919" w:themeColor="background1" w:themeShade="1A"/>
          <w:spacing w:val="-2"/>
          <w:sz w:val="28"/>
          <w:szCs w:val="28"/>
          <w:shd w:val="clear" w:color="auto" w:fill="FFFFFF"/>
          <w:lang w:val="en-US"/>
        </w:rPr>
        <w:t xml:space="preserve">you will win, even though both outcomes are equally likely. </w:t>
      </w:r>
      <w:r>
        <w:rPr>
          <w:rStyle w:val="36"/>
          <w:rFonts w:ascii="Times New Roman" w:hAnsi="Times New Roman" w:cs="Times New Roman"/>
          <w:color w:val="191919" w:themeColor="background1" w:themeShade="1A"/>
          <w:sz w:val="28"/>
          <w:szCs w:val="28"/>
          <w:shd w:val="clear" w:color="auto" w:fill="FFFFFF"/>
          <w:lang w:val="en-US"/>
        </w:rPr>
        <w:t>If people are risk averse, they value a collection (or portfolio) of assets not only on the basis of its expected return but also on the basis of the riskiness of that return. Under risk aversion, people may be willing to hold bonds denominated in several different currencies, even if the interest rates they offer are not linked by the interest parity condition, if the resulting portfolio of assets offers a desirable combination of return and risk. In general, a portfolio whose return fluctuates wildly from year to year is less desirable than one that offers the same average return with only mild year-to-year fluctuations. This observation is basic to understanding why countries exchange assets. Portfolio Diversification as a Motive for International Asset trade. The theory of portfolio diversification describes the gains from trade of assets for assets, of assets with one type of risk with assets of another type of risk. Economists say that investors often display risk aversion: they are averse to risk. Diversifying or “mixing up” a portfolio of assets is a way for investors to avoid or reduce risk.</w:t>
      </w:r>
    </w:p>
    <w:p>
      <w:pPr>
        <w:pStyle w:val="18"/>
        <w:numPr>
          <w:ilvl w:val="0"/>
          <w:numId w:val="39"/>
        </w:numPr>
        <w:tabs>
          <w:tab w:val="left" w:pos="284"/>
          <w:tab w:val="left" w:pos="709"/>
          <w:tab w:val="left" w:pos="851"/>
          <w:tab w:val="left" w:pos="993"/>
        </w:tabs>
        <w:spacing w:after="0" w:line="240" w:lineRule="auto"/>
        <w:ind w:left="0" w:firstLine="0"/>
        <w:jc w:val="both"/>
        <w:rPr>
          <w:rStyle w:val="36"/>
          <w:rFonts w:ascii="Times New Roman" w:hAnsi="Times New Roman" w:cs="Times New Roman"/>
          <w:b/>
          <w:color w:val="191919" w:themeColor="background1" w:themeShade="1A"/>
          <w:sz w:val="28"/>
          <w:szCs w:val="28"/>
          <w:lang w:val="en-US"/>
        </w:rPr>
      </w:pPr>
      <w:r>
        <w:rPr>
          <w:rStyle w:val="36"/>
          <w:rFonts w:ascii="Times New Roman" w:hAnsi="Times New Roman" w:cs="Times New Roman"/>
          <w:b/>
          <w:color w:val="191919" w:themeColor="background1" w:themeShade="1A"/>
          <w:sz w:val="28"/>
          <w:szCs w:val="28"/>
          <w:shd w:val="clear" w:color="auto" w:fill="FFFFFF"/>
          <w:lang w:val="en-US"/>
        </w:rPr>
        <w:t>A link to macroeconomics. Theories of crises. Main drivers of economic growth</w:t>
      </w:r>
    </w:p>
    <w:p>
      <w:pPr>
        <w:pBdr>
          <w:top w:val="single" w:color="E9E9E9" w:sz="2" w:space="0"/>
          <w:left w:val="single" w:color="E9E9E9" w:sz="2" w:space="0"/>
          <w:bottom w:val="single" w:color="E9E9E9" w:sz="2" w:space="0"/>
          <w:right w:val="single" w:color="E9E9E9" w:sz="2" w:space="0"/>
        </w:pBd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For example, the government might want to achieve an objective of a low rate of price inflation. The main instrument to achieve this are changes in monetary policy interest rates, since 1997 they have been set by the Bank of England. Fiscal policy could be another instrument to achieve this aim. This is in the hands of the government. Supply-side policies can also be used to control inflation and promote growth over the longer-term.</w:t>
      </w:r>
    </w:p>
    <w:p>
      <w:pPr>
        <w:pBdr>
          <w:top w:val="single" w:color="E9E9E9" w:sz="2" w:space="0"/>
          <w:left w:val="single" w:color="E9E9E9" w:sz="2" w:space="0"/>
          <w:bottom w:val="single" w:color="E9E9E9" w:sz="2" w:space="0"/>
          <w:right w:val="single" w:color="E9E9E9" w:sz="2" w:space="0"/>
        </w:pBd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government might have another objective to make the distribution of income more equal. It would then choose the policy instruments it thinks are best suited to reaching to this aim, perhaps a change in the income tax system or a rise in the national minimum wage.</w:t>
      </w:r>
    </w:p>
    <w:p>
      <w:pPr>
        <w:pBdr>
          <w:top w:val="single" w:color="E9E9E9" w:sz="2" w:space="0"/>
          <w:left w:val="single" w:color="E9E9E9" w:sz="2" w:space="0"/>
          <w:bottom w:val="single" w:color="E9E9E9" w:sz="2" w:space="0"/>
          <w:right w:val="single" w:color="E9E9E9" w:sz="2" w:space="0"/>
        </w:pBd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main </w:t>
      </w:r>
      <w:r>
        <w:rPr>
          <w:rFonts w:ascii="Times New Roman" w:hAnsi="Times New Roman" w:eastAsia="Times New Roman" w:cs="Times New Roman"/>
          <w:b/>
          <w:bCs/>
          <w:color w:val="191919" w:themeColor="background1" w:themeShade="1A"/>
          <w:sz w:val="28"/>
          <w:szCs w:val="28"/>
          <w:bdr w:val="single" w:color="E9E9E9" w:sz="2" w:space="0"/>
          <w:lang w:val="en-US" w:eastAsia="ru-RU"/>
        </w:rPr>
        <w:t>policy instruments</w:t>
      </w:r>
      <w:r>
        <w:rPr>
          <w:rFonts w:ascii="Times New Roman" w:hAnsi="Times New Roman" w:eastAsia="Times New Roman" w:cs="Times New Roman"/>
          <w:color w:val="191919" w:themeColor="background1" w:themeShade="1A"/>
          <w:sz w:val="28"/>
          <w:szCs w:val="28"/>
          <w:lang w:val="en-US" w:eastAsia="ru-RU"/>
        </w:rPr>
        <w:t> available to meet macroeconomic objectives are</w:t>
      </w:r>
    </w:p>
    <w:p>
      <w:pPr>
        <w:numPr>
          <w:ilvl w:val="0"/>
          <w:numId w:val="40"/>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bdr w:val="single" w:color="E9E9E9" w:sz="2" w:space="0"/>
          <w:lang w:val="en-US" w:eastAsia="ru-RU"/>
        </w:rPr>
        <w:t>Monetary policy</w:t>
      </w:r>
      <w:r>
        <w:rPr>
          <w:rFonts w:ascii="Times New Roman" w:hAnsi="Times New Roman" w:eastAsia="Times New Roman" w:cs="Times New Roman"/>
          <w:color w:val="191919" w:themeColor="background1" w:themeShade="1A"/>
          <w:sz w:val="28"/>
          <w:szCs w:val="28"/>
          <w:lang w:val="en-US" w:eastAsia="ru-RU"/>
        </w:rPr>
        <w:t> –changes to interest rates, the supply of money and credit and also changes to the value of the exchange rate</w:t>
      </w:r>
    </w:p>
    <w:p>
      <w:pPr>
        <w:numPr>
          <w:ilvl w:val="0"/>
          <w:numId w:val="40"/>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bdr w:val="single" w:color="E9E9E9" w:sz="2" w:space="0"/>
          <w:lang w:val="en-US" w:eastAsia="ru-RU"/>
        </w:rPr>
        <w:t>Fiscal policy</w:t>
      </w:r>
      <w:r>
        <w:rPr>
          <w:rFonts w:ascii="Times New Roman" w:hAnsi="Times New Roman" w:eastAsia="Times New Roman" w:cs="Times New Roman"/>
          <w:color w:val="191919" w:themeColor="background1" w:themeShade="1A"/>
          <w:sz w:val="28"/>
          <w:szCs w:val="28"/>
          <w:lang w:val="en-US" w:eastAsia="ru-RU"/>
        </w:rPr>
        <w:t> – changes to government taxation, government spending and borrowing</w:t>
      </w:r>
    </w:p>
    <w:p>
      <w:pPr>
        <w:numPr>
          <w:ilvl w:val="0"/>
          <w:numId w:val="40"/>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bdr w:val="single" w:color="E9E9E9" w:sz="2" w:space="0"/>
          <w:lang w:val="en-US" w:eastAsia="ru-RU"/>
        </w:rPr>
        <w:t>Supply-side policies</w:t>
      </w:r>
      <w:r>
        <w:rPr>
          <w:rFonts w:ascii="Times New Roman" w:hAnsi="Times New Roman" w:eastAsia="Times New Roman" w:cs="Times New Roman"/>
          <w:color w:val="191919" w:themeColor="background1" w:themeShade="1A"/>
          <w:sz w:val="28"/>
          <w:szCs w:val="28"/>
          <w:lang w:val="en-US" w:eastAsia="ru-RU"/>
        </w:rPr>
        <w:t> designed to make markets work more efficiently</w:t>
      </w:r>
    </w:p>
    <w:p>
      <w:pPr>
        <w:pBdr>
          <w:top w:val="single" w:color="E9E9E9" w:sz="2" w:space="0"/>
          <w:left w:val="single" w:color="E9E9E9" w:sz="2" w:space="0"/>
          <w:bottom w:val="single" w:color="E9E9E9" w:sz="2" w:space="0"/>
          <w:right w:val="single" w:color="E9E9E9" w:sz="2" w:space="0"/>
        </w:pBd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bdr w:val="single" w:color="E9E9E9" w:sz="2" w:space="0"/>
          <w:lang w:val="en-US" w:eastAsia="ru-RU"/>
        </w:rPr>
        <w:t>Objectives of UK Macroeconomic Policy</w:t>
      </w:r>
    </w:p>
    <w:p>
      <w:pPr>
        <w:pBdr>
          <w:top w:val="single" w:color="E9E9E9" w:sz="2" w:space="0"/>
          <w:left w:val="single" w:color="E9E9E9" w:sz="2" w:space="0"/>
          <w:bottom w:val="single" w:color="E9E9E9" w:sz="2" w:space="0"/>
          <w:right w:val="single" w:color="E9E9E9" w:sz="2" w:space="0"/>
        </w:pBd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key objectives for the UK are:</w:t>
      </w:r>
    </w:p>
    <w:p>
      <w:pPr>
        <w:numPr>
          <w:ilvl w:val="0"/>
          <w:numId w:val="41"/>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bdr w:val="single" w:color="E9E9E9" w:sz="2" w:space="0"/>
          <w:lang w:val="en-US" w:eastAsia="ru-RU"/>
        </w:rPr>
        <w:t>Stable low inflation</w:t>
      </w:r>
      <w:r>
        <w:rPr>
          <w:rFonts w:ascii="Times New Roman" w:hAnsi="Times New Roman" w:eastAsia="Times New Roman" w:cs="Times New Roman"/>
          <w:color w:val="191919" w:themeColor="background1" w:themeShade="1A"/>
          <w:sz w:val="28"/>
          <w:szCs w:val="28"/>
          <w:lang w:val="en-US" w:eastAsia="ru-RU"/>
        </w:rPr>
        <w:t> - the Government’s inflation target is </w:t>
      </w:r>
      <w:r>
        <w:rPr>
          <w:rFonts w:ascii="Times New Roman" w:hAnsi="Times New Roman" w:eastAsia="Times New Roman" w:cs="Times New Roman"/>
          <w:b/>
          <w:bCs/>
          <w:color w:val="191919" w:themeColor="background1" w:themeShade="1A"/>
          <w:sz w:val="28"/>
          <w:szCs w:val="28"/>
          <w:bdr w:val="single" w:color="E9E9E9" w:sz="2" w:space="0"/>
          <w:lang w:val="en-US" w:eastAsia="ru-RU"/>
        </w:rPr>
        <w:t>2.0%</w:t>
      </w:r>
      <w:r>
        <w:rPr>
          <w:rFonts w:ascii="Times New Roman" w:hAnsi="Times New Roman" w:eastAsia="Times New Roman" w:cs="Times New Roman"/>
          <w:color w:val="191919" w:themeColor="background1" w:themeShade="1A"/>
          <w:sz w:val="28"/>
          <w:szCs w:val="28"/>
          <w:lang w:val="en-US" w:eastAsia="ru-RU"/>
        </w:rPr>
        <w:t> for the </w:t>
      </w:r>
      <w:r>
        <w:rPr>
          <w:rFonts w:ascii="Times New Roman" w:hAnsi="Times New Roman" w:eastAsia="Times New Roman" w:cs="Times New Roman"/>
          <w:b/>
          <w:bCs/>
          <w:color w:val="191919" w:themeColor="background1" w:themeShade="1A"/>
          <w:sz w:val="28"/>
          <w:szCs w:val="28"/>
          <w:bdr w:val="single" w:color="E9E9E9" w:sz="2" w:space="0"/>
          <w:lang w:val="en-US" w:eastAsia="ru-RU"/>
        </w:rPr>
        <w:t>consumer price index</w:t>
      </w:r>
      <w:r>
        <w:rPr>
          <w:rFonts w:ascii="Times New Roman" w:hAnsi="Times New Roman" w:eastAsia="Times New Roman" w:cs="Times New Roman"/>
          <w:color w:val="191919" w:themeColor="background1" w:themeShade="1A"/>
          <w:sz w:val="28"/>
          <w:szCs w:val="28"/>
          <w:lang w:val="en-US" w:eastAsia="ru-RU"/>
        </w:rPr>
        <w:t>.</w:t>
      </w:r>
    </w:p>
    <w:p>
      <w:pPr>
        <w:numPr>
          <w:ilvl w:val="0"/>
          <w:numId w:val="41"/>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bdr w:val="single" w:color="E9E9E9" w:sz="2" w:space="0"/>
          <w:lang w:val="en-US" w:eastAsia="ru-RU"/>
        </w:rPr>
        <w:t>Sustainable growth</w:t>
      </w:r>
      <w:r>
        <w:rPr>
          <w:rFonts w:ascii="Times New Roman" w:hAnsi="Times New Roman" w:eastAsia="Times New Roman" w:cs="Times New Roman"/>
          <w:color w:val="191919" w:themeColor="background1" w:themeShade="1A"/>
          <w:sz w:val="28"/>
          <w:szCs w:val="28"/>
          <w:lang w:val="en-US" w:eastAsia="ru-RU"/>
        </w:rPr>
        <w:t> – growth of </w:t>
      </w:r>
      <w:r>
        <w:rPr>
          <w:rFonts w:ascii="Times New Roman" w:hAnsi="Times New Roman" w:eastAsia="Times New Roman" w:cs="Times New Roman"/>
          <w:b/>
          <w:bCs/>
          <w:color w:val="191919" w:themeColor="background1" w:themeShade="1A"/>
          <w:sz w:val="28"/>
          <w:szCs w:val="28"/>
          <w:bdr w:val="single" w:color="E9E9E9" w:sz="2" w:space="0"/>
          <w:lang w:val="en-US" w:eastAsia="ru-RU"/>
        </w:rPr>
        <w:t>real gross domestic product </w:t>
      </w:r>
      <w:r>
        <w:rPr>
          <w:rFonts w:ascii="Times New Roman" w:hAnsi="Times New Roman" w:eastAsia="Times New Roman" w:cs="Times New Roman"/>
          <w:color w:val="191919" w:themeColor="background1" w:themeShade="1A"/>
          <w:sz w:val="28"/>
          <w:szCs w:val="28"/>
          <w:lang w:val="en-US" w:eastAsia="ru-RU"/>
        </w:rPr>
        <w:t>– sustainable in keeping inflation low and reducing the environmental impact of growth.</w:t>
      </w:r>
    </w:p>
    <w:p>
      <w:pPr>
        <w:numPr>
          <w:ilvl w:val="0"/>
          <w:numId w:val="41"/>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bdr w:val="single" w:color="E9E9E9" w:sz="2" w:space="0"/>
          <w:lang w:val="en-US" w:eastAsia="ru-RU"/>
        </w:rPr>
        <w:t>Improvements in productivity</w:t>
      </w:r>
      <w:r>
        <w:rPr>
          <w:rFonts w:ascii="Times New Roman" w:hAnsi="Times New Roman" w:eastAsia="Times New Roman" w:cs="Times New Roman"/>
          <w:color w:val="191919" w:themeColor="background1" w:themeShade="1A"/>
          <w:sz w:val="28"/>
          <w:szCs w:val="28"/>
          <w:lang w:val="en-US" w:eastAsia="ru-RU"/>
        </w:rPr>
        <w:t> – this is designed to improve competitiveness and global trade performance</w:t>
      </w:r>
    </w:p>
    <w:p>
      <w:pPr>
        <w:numPr>
          <w:ilvl w:val="0"/>
          <w:numId w:val="41"/>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bdr w:val="single" w:color="E9E9E9" w:sz="2" w:space="0"/>
          <w:lang w:val="en-US" w:eastAsia="ru-RU"/>
        </w:rPr>
        <w:t>High employment</w:t>
      </w:r>
      <w:r>
        <w:rPr>
          <w:rFonts w:ascii="Times New Roman" w:hAnsi="Times New Roman" w:eastAsia="Times New Roman" w:cs="Times New Roman"/>
          <w:color w:val="191919" w:themeColor="background1" w:themeShade="1A"/>
          <w:sz w:val="28"/>
          <w:szCs w:val="28"/>
          <w:lang w:val="en-US" w:eastAsia="ru-RU"/>
        </w:rPr>
        <w:t> - the government wants to achieve </w:t>
      </w:r>
      <w:r>
        <w:rPr>
          <w:rFonts w:ascii="Times New Roman" w:hAnsi="Times New Roman" w:eastAsia="Times New Roman" w:cs="Times New Roman"/>
          <w:b/>
          <w:bCs/>
          <w:color w:val="191919" w:themeColor="background1" w:themeShade="1A"/>
          <w:sz w:val="28"/>
          <w:szCs w:val="28"/>
          <w:bdr w:val="single" w:color="E9E9E9" w:sz="2" w:space="0"/>
          <w:lang w:val="en-US" w:eastAsia="ru-RU"/>
        </w:rPr>
        <w:t>an increase employment</w:t>
      </w:r>
      <w:r>
        <w:rPr>
          <w:rFonts w:ascii="Times New Roman" w:hAnsi="Times New Roman" w:eastAsia="Times New Roman" w:cs="Times New Roman"/>
          <w:color w:val="191919" w:themeColor="background1" w:themeShade="1A"/>
          <w:sz w:val="28"/>
          <w:szCs w:val="28"/>
          <w:lang w:val="en-US" w:eastAsia="ru-RU"/>
        </w:rPr>
        <w:t> and eventually a situation where all those able and available can find meaningful work</w:t>
      </w:r>
    </w:p>
    <w:p>
      <w:pPr>
        <w:numPr>
          <w:ilvl w:val="0"/>
          <w:numId w:val="41"/>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bdr w:val="single" w:color="E9E9E9" w:sz="2" w:space="0"/>
          <w:lang w:val="en-US" w:eastAsia="ru-RU"/>
        </w:rPr>
        <w:t>Rising living standards and a fall in relative poverty </w:t>
      </w:r>
      <w:r>
        <w:rPr>
          <w:rFonts w:ascii="Times New Roman" w:hAnsi="Times New Roman" w:eastAsia="Times New Roman" w:cs="Times New Roman"/>
          <w:color w:val="191919" w:themeColor="background1" w:themeShade="1A"/>
          <w:sz w:val="28"/>
          <w:szCs w:val="28"/>
          <w:lang w:val="en-US" w:eastAsia="ru-RU"/>
        </w:rPr>
        <w:t>– cutting child poverty and reducing pensioner poverty.</w:t>
      </w:r>
    </w:p>
    <w:p>
      <w:pPr>
        <w:numPr>
          <w:ilvl w:val="0"/>
          <w:numId w:val="41"/>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bdr w:val="single" w:color="E9E9E9" w:sz="2" w:space="0"/>
          <w:lang w:val="en-US" w:eastAsia="ru-RU"/>
        </w:rPr>
        <w:t>Sound government finances</w:t>
      </w:r>
      <w:r>
        <w:rPr>
          <w:rFonts w:ascii="Times New Roman" w:hAnsi="Times New Roman" w:eastAsia="Times New Roman" w:cs="Times New Roman"/>
          <w:color w:val="191919" w:themeColor="background1" w:themeShade="1A"/>
          <w:sz w:val="28"/>
          <w:szCs w:val="28"/>
          <w:lang w:val="en-US" w:eastAsia="ru-RU"/>
        </w:rPr>
        <w:t> - including control over state borrowing and the total national debt</w:t>
      </w:r>
    </w:p>
    <w:p>
      <w:pPr>
        <w:pBdr>
          <w:top w:val="single" w:color="E9E9E9" w:sz="2" w:space="0"/>
          <w:left w:val="single" w:color="E9E9E9" w:sz="2" w:space="0"/>
          <w:bottom w:val="single" w:color="E9E9E9" w:sz="2" w:space="0"/>
          <w:right w:val="single" w:color="E9E9E9" w:sz="2" w:space="0"/>
        </w:pBdr>
        <w:shd w:val="clear" w:color="auto" w:fill="FFFFFF"/>
        <w:spacing w:after="0" w:line="240" w:lineRule="auto"/>
        <w:jc w:val="both"/>
        <w:outlineLvl w:val="1"/>
        <w:rPr>
          <w:rFonts w:ascii="Times New Roman" w:hAnsi="Times New Roman" w:eastAsia="Times New Roman" w:cs="Times New Roman"/>
          <w:b/>
          <w:bCs/>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lang w:val="en-US" w:eastAsia="ru-RU"/>
        </w:rPr>
        <w:t>Main Benefits of Economic Growth</w:t>
      </w:r>
    </w:p>
    <w:p>
      <w:pPr>
        <w:numPr>
          <w:ilvl w:val="0"/>
          <w:numId w:val="42"/>
        </w:numPr>
        <w:pBdr>
          <w:top w:val="single" w:color="E9E9E9" w:sz="2" w:space="0"/>
          <w:left w:val="single" w:color="E9E9E9" w:sz="2" w:space="0"/>
          <w:bottom w:val="single" w:color="E9E9E9" w:sz="2" w:space="0"/>
          <w:right w:val="single" w:color="E9E9E9" w:sz="2" w:space="0"/>
        </w:pBdr>
        <w:shd w:val="clear" w:color="auto" w:fill="FFFFFF"/>
        <w:tabs>
          <w:tab w:val="left" w:pos="851"/>
        </w:tabs>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Higher living standards – i.e. Real GNI per capita – helps to lift people out of extreme poverty and improve development outcomes (e.g. rising HDI)</w:t>
      </w:r>
    </w:p>
    <w:p>
      <w:pPr>
        <w:numPr>
          <w:ilvl w:val="0"/>
          <w:numId w:val="42"/>
        </w:numPr>
        <w:pBdr>
          <w:top w:val="single" w:color="E9E9E9" w:sz="2" w:space="0"/>
          <w:left w:val="single" w:color="E9E9E9" w:sz="2" w:space="0"/>
          <w:bottom w:val="single" w:color="E9E9E9" w:sz="2" w:space="0"/>
          <w:right w:val="single" w:color="E9E9E9" w:sz="2" w:space="0"/>
        </w:pBdr>
        <w:shd w:val="clear" w:color="auto" w:fill="FFFFFF"/>
        <w:tabs>
          <w:tab w:val="left" w:pos="851"/>
        </w:tabs>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Employment effects – sustained growth stimulates jobs and contributes to lower unemployment rates which is turn helps to reduce income inequality.</w:t>
      </w:r>
    </w:p>
    <w:p>
      <w:pPr>
        <w:numPr>
          <w:ilvl w:val="0"/>
          <w:numId w:val="42"/>
        </w:numPr>
        <w:pBdr>
          <w:top w:val="single" w:color="E9E9E9" w:sz="2" w:space="0"/>
          <w:left w:val="single" w:color="E9E9E9" w:sz="2" w:space="0"/>
          <w:bottom w:val="single" w:color="E9E9E9" w:sz="2" w:space="0"/>
          <w:right w:val="single" w:color="E9E9E9" w:sz="2" w:space="0"/>
        </w:pBdr>
        <w:shd w:val="clear" w:color="auto" w:fill="FFFFFF"/>
        <w:tabs>
          <w:tab w:val="left" w:pos="851"/>
        </w:tabs>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Fiscal dividend – higher economic growth will raise tax revenues and reduce government spending on unemployment &amp; poverty related welfare benefits</w:t>
      </w:r>
    </w:p>
    <w:p>
      <w:pPr>
        <w:numPr>
          <w:ilvl w:val="0"/>
          <w:numId w:val="42"/>
        </w:numPr>
        <w:pBdr>
          <w:top w:val="single" w:color="E9E9E9" w:sz="2" w:space="0"/>
          <w:left w:val="single" w:color="E9E9E9" w:sz="2" w:space="0"/>
          <w:bottom w:val="single" w:color="E9E9E9" w:sz="2" w:space="0"/>
          <w:right w:val="single" w:color="E9E9E9" w:sz="2" w:space="0"/>
        </w:pBdr>
        <w:shd w:val="clear" w:color="auto" w:fill="FFFFFF"/>
        <w:tabs>
          <w:tab w:val="left" w:pos="851"/>
        </w:tabs>
        <w:spacing w:after="0" w:line="240" w:lineRule="auto"/>
        <w:ind w:left="0" w:firstLine="567"/>
        <w:jc w:val="both"/>
        <w:rPr>
          <w:rFonts w:ascii="Times New Roman" w:hAnsi="Times New Roman" w:eastAsia="Times New Roman" w:cs="Times New Roman"/>
          <w:color w:val="191919" w:themeColor="background1" w:themeShade="1A"/>
          <w:sz w:val="28"/>
          <w:szCs w:val="28"/>
          <w:lang w:eastAsia="ru-RU"/>
        </w:rPr>
      </w:pPr>
      <w:r>
        <w:rPr>
          <w:rFonts w:ascii="Times New Roman" w:hAnsi="Times New Roman" w:eastAsia="Times New Roman" w:cs="Times New Roman"/>
          <w:color w:val="191919" w:themeColor="background1" w:themeShade="1A"/>
          <w:sz w:val="28"/>
          <w:szCs w:val="28"/>
          <w:lang w:val="en-US" w:eastAsia="ru-RU"/>
        </w:rPr>
        <w:t xml:space="preserve">Accelerator effect - rising growth stimulates new investment e.g. in low-carbon technologies. </w:t>
      </w:r>
      <w:r>
        <w:rPr>
          <w:rFonts w:ascii="Times New Roman" w:hAnsi="Times New Roman" w:eastAsia="Times New Roman" w:cs="Times New Roman"/>
          <w:color w:val="191919" w:themeColor="background1" w:themeShade="1A"/>
          <w:sz w:val="28"/>
          <w:szCs w:val="28"/>
          <w:lang w:eastAsia="ru-RU"/>
        </w:rPr>
        <w:t>Better growth may attract foreign direct investment projects</w:t>
      </w:r>
    </w:p>
    <w:p>
      <w:pPr>
        <w:pBdr>
          <w:top w:val="single" w:color="E9E9E9" w:sz="2" w:space="0"/>
          <w:left w:val="single" w:color="E9E9E9" w:sz="2" w:space="0"/>
          <w:bottom w:val="single" w:color="E9E9E9" w:sz="2" w:space="0"/>
          <w:right w:val="single" w:color="E9E9E9" w:sz="2" w:space="0"/>
        </w:pBdr>
        <w:shd w:val="clear" w:color="auto" w:fill="FFFFFF"/>
        <w:spacing w:after="0" w:line="240" w:lineRule="auto"/>
        <w:jc w:val="both"/>
        <w:outlineLvl w:val="1"/>
        <w:rPr>
          <w:rFonts w:ascii="Times New Roman" w:hAnsi="Times New Roman" w:eastAsia="Times New Roman" w:cs="Times New Roman"/>
          <w:b/>
          <w:bCs/>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lang w:val="en-US" w:eastAsia="ru-RU"/>
        </w:rPr>
        <w:t>Main Costs of Economic Growth</w:t>
      </w:r>
    </w:p>
    <w:p>
      <w:pPr>
        <w:pBdr>
          <w:top w:val="single" w:color="E9E9E9" w:sz="2" w:space="0"/>
          <w:left w:val="single" w:color="E9E9E9" w:sz="2" w:space="0"/>
          <w:bottom w:val="single" w:color="E9E9E9" w:sz="2" w:space="0"/>
          <w:right w:val="single" w:color="E9E9E9" w:sz="2" w:space="0"/>
        </w:pBdr>
        <w:shd w:val="clear" w:color="auto" w:fill="FFFFFF"/>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Rapid rates of GDP growth can bring about undesirable economic and social costs – much depends on the nature/causes of growth.</w:t>
      </w:r>
    </w:p>
    <w:p>
      <w:pPr>
        <w:pBdr>
          <w:top w:val="single" w:color="E9E9E9" w:sz="2" w:space="0"/>
          <w:left w:val="single" w:color="E9E9E9" w:sz="2" w:space="0"/>
          <w:bottom w:val="single" w:color="E9E9E9" w:sz="2" w:space="0"/>
          <w:right w:val="single" w:color="E9E9E9" w:sz="2" w:space="0"/>
        </w:pBdr>
        <w:shd w:val="clear" w:color="auto" w:fill="FFFFFF"/>
        <w:spacing w:after="0" w:line="240" w:lineRule="auto"/>
        <w:jc w:val="both"/>
        <w:outlineLvl w:val="2"/>
        <w:rPr>
          <w:rFonts w:ascii="Times New Roman" w:hAnsi="Times New Roman" w:eastAsia="Times New Roman" w:cs="Times New Roman"/>
          <w:b/>
          <w:bCs/>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lang w:val="en-US" w:eastAsia="ru-RU"/>
        </w:rPr>
        <w:t>Risks of higher inflation and higher interest rates</w:t>
      </w:r>
    </w:p>
    <w:p>
      <w:pPr>
        <w:numPr>
          <w:ilvl w:val="0"/>
          <w:numId w:val="43"/>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Fast-growing demand can lead to demand-pull and cost-push inflation – this leads to a conflict between macro objectives</w:t>
      </w:r>
    </w:p>
    <w:p>
      <w:pPr>
        <w:numPr>
          <w:ilvl w:val="0"/>
          <w:numId w:val="43"/>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central bank may decide to raise interest rates to control inflation</w:t>
      </w:r>
    </w:p>
    <w:p>
      <w:pPr>
        <w:pBdr>
          <w:top w:val="single" w:color="E9E9E9" w:sz="2" w:space="0"/>
          <w:left w:val="single" w:color="E9E9E9" w:sz="2" w:space="0"/>
          <w:bottom w:val="single" w:color="E9E9E9" w:sz="2" w:space="0"/>
          <w:right w:val="single" w:color="E9E9E9" w:sz="2" w:space="0"/>
        </w:pBdr>
        <w:shd w:val="clear" w:color="auto" w:fill="FFFFFF"/>
        <w:spacing w:after="0" w:line="240" w:lineRule="auto"/>
        <w:ind w:firstLine="567"/>
        <w:jc w:val="both"/>
        <w:outlineLvl w:val="2"/>
        <w:rPr>
          <w:rFonts w:ascii="Times New Roman" w:hAnsi="Times New Roman" w:eastAsia="Times New Roman" w:cs="Times New Roman"/>
          <w:b/>
          <w:bCs/>
          <w:color w:val="191919" w:themeColor="background1" w:themeShade="1A"/>
          <w:sz w:val="28"/>
          <w:szCs w:val="28"/>
          <w:lang w:eastAsia="ru-RU"/>
        </w:rPr>
      </w:pPr>
      <w:r>
        <w:rPr>
          <w:rFonts w:ascii="Times New Roman" w:hAnsi="Times New Roman" w:eastAsia="Times New Roman" w:cs="Times New Roman"/>
          <w:b/>
          <w:bCs/>
          <w:color w:val="191919" w:themeColor="background1" w:themeShade="1A"/>
          <w:sz w:val="28"/>
          <w:szCs w:val="28"/>
          <w:lang w:eastAsia="ru-RU"/>
        </w:rPr>
        <w:t>Environmental effects</w:t>
      </w:r>
    </w:p>
    <w:p>
      <w:pPr>
        <w:numPr>
          <w:ilvl w:val="0"/>
          <w:numId w:val="44"/>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More negative externalities such as pollution &amp; waste</w:t>
      </w:r>
    </w:p>
    <w:p>
      <w:pPr>
        <w:numPr>
          <w:ilvl w:val="0"/>
          <w:numId w:val="44"/>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Risk of unsustainable extraction of finite resources – i.e. fast growing countries may cause a long-run depletion of natural resources</w:t>
      </w:r>
    </w:p>
    <w:p>
      <w:pPr>
        <w:pBdr>
          <w:top w:val="single" w:color="E9E9E9" w:sz="2" w:space="0"/>
          <w:left w:val="single" w:color="E9E9E9" w:sz="2" w:space="0"/>
          <w:bottom w:val="single" w:color="E9E9E9" w:sz="2" w:space="0"/>
          <w:right w:val="single" w:color="E9E9E9" w:sz="2" w:space="0"/>
        </w:pBdr>
        <w:shd w:val="clear" w:color="auto" w:fill="FFFFFF"/>
        <w:spacing w:after="0" w:line="240" w:lineRule="auto"/>
        <w:jc w:val="both"/>
        <w:outlineLvl w:val="2"/>
        <w:rPr>
          <w:rFonts w:ascii="Times New Roman" w:hAnsi="Times New Roman" w:eastAsia="Times New Roman" w:cs="Times New Roman"/>
          <w:b/>
          <w:bCs/>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lang w:val="en-US" w:eastAsia="ru-RU"/>
        </w:rPr>
        <w:t>Inequalities of income and wealth</w:t>
      </w:r>
    </w:p>
    <w:p>
      <w:pPr>
        <w:numPr>
          <w:ilvl w:val="0"/>
          <w:numId w:val="45"/>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Rapid increases in real national income can lead to a higher level of inequality and social divisions</w:t>
      </w:r>
    </w:p>
    <w:p>
      <w:pPr>
        <w:numPr>
          <w:ilvl w:val="0"/>
          <w:numId w:val="45"/>
        </w:numPr>
        <w:pBdr>
          <w:top w:val="single" w:color="E9E9E9" w:sz="2" w:space="0"/>
          <w:left w:val="single" w:color="E9E9E9" w:sz="2" w:space="0"/>
          <w:bottom w:val="single" w:color="E9E9E9" w:sz="2" w:space="0"/>
          <w:right w:val="single" w:color="E9E9E9" w:sz="2" w:space="0"/>
        </w:pBdr>
        <w:shd w:val="clear" w:color="auto" w:fill="FFFFFF"/>
        <w:spacing w:after="0" w:line="240" w:lineRule="auto"/>
        <w:ind w:left="0"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Many of the gains from growth may go to only a few people</w:t>
      </w:r>
    </w:p>
    <w:p>
      <w:pPr>
        <w:pStyle w:val="18"/>
        <w:numPr>
          <w:ilvl w:val="0"/>
          <w:numId w:val="39"/>
        </w:numPr>
        <w:tabs>
          <w:tab w:val="left" w:pos="426"/>
          <w:tab w:val="left" w:pos="851"/>
        </w:tabs>
        <w:spacing w:after="0" w:line="240" w:lineRule="auto"/>
        <w:ind w:left="0" w:firstLine="0"/>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Managing Global economic and financial crises</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There are a number of articles by various academics and analysts providing different judgment on the reasons for the current crisis as well as its character and factors. However, in general, two groups of factors that influenced the financial crisis are distinguished. Firstly, there are structural factors which allowed the crisis to develop and spread by creating favorable conditions, and secondly, there are cyclic factors which have, in fact, caused the crisis. Structural factors are the following1 : </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a considerable growth of the role of capital markets (non-bank financial institutions) in the financial intermediary activity and a growing complexity of financial markets; </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enhancing uncertainty of the financial markets;</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 intensity of the globalisation process; </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inadequate quantitative methods of risk evaluation employed in decision-making; </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surplus of savings in a number of countries (particularly in China) as well as the redistribution of assets and income to the exporters of consumer goods;</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over-reliance on the success of the market self-regulation mechanism; </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excessive use of new and complex financial instruments; it transferred all the possible risks to the international level and reduced the transparency of the markets 2 . </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and the most significant - inadequate and old-fashioned structure of the world finance supervision and regulation due to which the volume of the general loan and credit risk has sharply increased; Cycle factors involve: </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too low interest rates for non-risky assets in the course of all the periods of the leading world economies Yet, a higher U.S. interest rate could have reduced fund supply for real estate credits; however, it must have been foreseen. Furthermore, after the first signs of the crisis the increase of the interest rate would have worsened the situation and the state economy would have been depressed; </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insupportably low margin of the credit risk for all the instruments; </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the bank system being under a low level of regulation and poor supervision. This credit structure is developing, dynamic and constantly introducing new derivative investment products of high complexity. The risk of these products must be estimated as well as a constant control over new instruments and institutions distributing them must be kept. In our opinion, three fundamental groups of the reasons for the global crisis could be distinguished. The first is the cyclic development of the world economy and the national economies of the developed countries as well as the increasing synchronicity of these processes in the major world economic centers such as the U.S., the EU and Japan. It is evident that globalization processes shorten the cycle as well as the duration of the phases of the global economic boom and stability. The first indications of the current crisis of the global economy appeared in 2001 after a sharp fall in fund exchange indexes. Namely, this period is considered to be the end of the economy boom which is linked to the receptive global computer and communication market, including the mobile phones market. In 2001 a stormy growth in the mentioned markets stopped and the economic boost turned into the phase of decline. On the eve of economic recession, central banks of various countries in the world started applying the classical means to maintain economic activity, i.e. reduction of the interest rates. In addition, fund supply was increased. If by that time the global economy had experienced a recession of an average duration cycle, these means would probably have been sufficient to stimulate the economic growth.</w:t>
      </w:r>
    </w:p>
    <w:p>
      <w:pPr>
        <w:pStyle w:val="18"/>
        <w:spacing w:after="0" w:line="240" w:lineRule="auto"/>
        <w:ind w:left="0" w:firstLine="567"/>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However, every crisis has some aspects in common with other crises as well as its own peculiar features and outcomes. The current crisis has paralyzed the activity of the developed financial markets, ruined the expectations of investors and forced world governments to reconsider the trends of fiscal and monetary policy. Moreover, the crisis has attracted attention to the state regulation of economy. Recently, the issues of problematic financial systems and instability of markets became particularly relevant. The changing situation of financial markets is being analyzed and economic indicators of the world countries are being projected in order to find out the causes of the financial crisis, to foresee the potential consequences, to construct a strategy for overcoming it as well as to identify means to prevent such crises in the future. To properly evaluate the causes and the processes of the current crisis, the stages of its development as well as the possibilities to overcome it, historical considerations and detailed analyses of the reasons for the major previous crises (Table 1) are of utmost importance. Although the abovementioned crises occurred in different periods of time, under different economic and social circumstances and due to different reasons, they share some general features, such as low interest rate, high liquidity, an increase in financial flows, weak supervision and regulation of financial institutions. Review of the historic events provides us with significant clues about the policies of supervision institutions of the financial markets and central banks. These policies are considered to be ill-timed and insufficiently effective. </w:t>
      </w:r>
    </w:p>
    <w:p>
      <w:pPr>
        <w:pStyle w:val="18"/>
        <w:numPr>
          <w:ilvl w:val="0"/>
          <w:numId w:val="39"/>
        </w:numPr>
        <w:tabs>
          <w:tab w:val="left" w:pos="426"/>
        </w:tabs>
        <w:spacing w:after="0" w:line="240" w:lineRule="auto"/>
        <w:ind w:left="0" w:firstLine="0"/>
        <w:jc w:val="both"/>
        <w:rPr>
          <w:rFonts w:ascii="Times New Roman" w:hAnsi="Times New Roman" w:cs="Times New Roman"/>
          <w:b/>
          <w:color w:val="191919" w:themeColor="background1" w:themeShade="1A"/>
          <w:sz w:val="28"/>
          <w:szCs w:val="28"/>
          <w:lang w:val="en-US"/>
        </w:rPr>
      </w:pPr>
      <w:r>
        <w:rPr>
          <w:rFonts w:ascii="Times New Roman" w:hAnsi="Times New Roman" w:cs="Times New Roman"/>
          <w:b/>
          <w:color w:val="191919" w:themeColor="background1" w:themeShade="1A"/>
          <w:sz w:val="28"/>
          <w:szCs w:val="28"/>
          <w:lang w:val="en-US"/>
        </w:rPr>
        <w:t>Regulation of international banking. BIS recommendations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Bank for International Settlements (BIS) is often called the "central bank for central banks" because it provides banking services to institutions such as the European Central Bank and Federal Reserve. These services include conducting gold and currency transactions, as well as making short-term </w:t>
      </w:r>
      <w:r>
        <w:fldChar w:fldCharType="begin"/>
      </w:r>
      <w:r>
        <w:instrText xml:space="preserve"> HYPERLINK "https://www.investopedia.com/terms/c/collateral.asp" </w:instrText>
      </w:r>
      <w:r>
        <w:fldChar w:fldCharType="separate"/>
      </w:r>
      <w:r>
        <w:rPr>
          <w:rStyle w:val="13"/>
          <w:rFonts w:eastAsiaTheme="minorEastAsia"/>
          <w:color w:val="191919" w:themeColor="background1" w:themeShade="1A"/>
          <w:sz w:val="28"/>
          <w:szCs w:val="28"/>
          <w:u w:val="none"/>
          <w:lang w:val="en-US"/>
        </w:rPr>
        <w:t>collateralized</w:t>
      </w:r>
      <w:r>
        <w:rPr>
          <w:rStyle w:val="13"/>
          <w:rFonts w:eastAsiaTheme="minorEastAsia"/>
          <w:color w:val="191919" w:themeColor="background1" w:themeShade="1A"/>
          <w:sz w:val="28"/>
          <w:szCs w:val="28"/>
          <w:u w:val="none"/>
          <w:lang w:val="en-US"/>
        </w:rPr>
        <w:fldChar w:fldCharType="end"/>
      </w:r>
      <w:r>
        <w:rPr>
          <w:color w:val="191919" w:themeColor="background1" w:themeShade="1A"/>
          <w:sz w:val="28"/>
          <w:szCs w:val="28"/>
          <w:lang w:val="en-US"/>
        </w:rPr>
        <w:t> loans.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BIS also encourages cooperation among central banks. The </w:t>
      </w:r>
      <w:r>
        <w:fldChar w:fldCharType="begin"/>
      </w:r>
      <w:r>
        <w:instrText xml:space="preserve"> HYPERLINK "https://www.investopedia.com/terms/b/baselcommittee.asp" </w:instrText>
      </w:r>
      <w:r>
        <w:fldChar w:fldCharType="separate"/>
      </w:r>
      <w:r>
        <w:rPr>
          <w:rStyle w:val="13"/>
          <w:rFonts w:eastAsiaTheme="minorEastAsia"/>
          <w:color w:val="191919" w:themeColor="background1" w:themeShade="1A"/>
          <w:sz w:val="28"/>
          <w:szCs w:val="28"/>
          <w:u w:val="none"/>
          <w:lang w:val="en-US"/>
        </w:rPr>
        <w:t>Basel Committee for Banking Supervision (BCBS)</w:t>
      </w:r>
      <w:r>
        <w:rPr>
          <w:rStyle w:val="13"/>
          <w:rFonts w:eastAsiaTheme="minorEastAsia"/>
          <w:color w:val="191919" w:themeColor="background1" w:themeShade="1A"/>
          <w:sz w:val="28"/>
          <w:szCs w:val="28"/>
          <w:u w:val="none"/>
          <w:lang w:val="en-US"/>
        </w:rPr>
        <w:fldChar w:fldCharType="end"/>
      </w:r>
      <w:r>
        <w:rPr>
          <w:color w:val="191919" w:themeColor="background1" w:themeShade="1A"/>
          <w:sz w:val="28"/>
          <w:szCs w:val="28"/>
          <w:lang w:val="en-US"/>
        </w:rPr>
        <w:t>, while technically separate from the BIS, is a closely associated international forum for financial regulation that is housed in the BIS' offices in Basel, Switzerland. The BCBS is responsible for the </w:t>
      </w:r>
      <w:r>
        <w:fldChar w:fldCharType="begin"/>
      </w:r>
      <w:r>
        <w:instrText xml:space="preserve"> HYPERLINK "https://www.investopedia.com/terms/b/basel_accord.asp" </w:instrText>
      </w:r>
      <w:r>
        <w:fldChar w:fldCharType="separate"/>
      </w:r>
      <w:r>
        <w:rPr>
          <w:rStyle w:val="13"/>
          <w:rFonts w:eastAsiaTheme="minorEastAsia"/>
          <w:color w:val="191919" w:themeColor="background1" w:themeShade="1A"/>
          <w:sz w:val="28"/>
          <w:szCs w:val="28"/>
          <w:u w:val="none"/>
          <w:lang w:val="en-US"/>
        </w:rPr>
        <w:t>Basel Accords</w:t>
      </w:r>
      <w:r>
        <w:rPr>
          <w:rStyle w:val="13"/>
          <w:rFonts w:eastAsiaTheme="minorEastAsia"/>
          <w:color w:val="191919" w:themeColor="background1" w:themeShade="1A"/>
          <w:sz w:val="28"/>
          <w:szCs w:val="28"/>
          <w:u w:val="none"/>
          <w:lang w:val="en-US"/>
        </w:rPr>
        <w:fldChar w:fldCharType="end"/>
      </w:r>
      <w:r>
        <w:rPr>
          <w:color w:val="191919" w:themeColor="background1" w:themeShade="1A"/>
          <w:sz w:val="28"/>
          <w:szCs w:val="28"/>
          <w:lang w:val="en-US"/>
        </w:rPr>
        <w:t>, which recommend capital requirements and other banking regulations that are widely implemented by national governments. The BIS also conducts research into economic issues and publishes reports.</w:t>
      </w:r>
    </w:p>
    <w:p>
      <w:pPr>
        <w:pStyle w:val="3"/>
        <w:spacing w:before="0"/>
        <w:ind w:firstLine="567"/>
        <w:jc w:val="both"/>
        <w:rPr>
          <w:rFonts w:ascii="Times New Roman" w:hAnsi="Times New Roman" w:cs="Times New Roman"/>
          <w:b w:val="0"/>
          <w:color w:val="191919" w:themeColor="background1" w:themeShade="1A"/>
          <w:sz w:val="28"/>
          <w:szCs w:val="28"/>
          <w:lang w:val="en-US"/>
        </w:rPr>
      </w:pPr>
      <w:r>
        <w:rPr>
          <w:rFonts w:ascii="Times New Roman" w:hAnsi="Times New Roman" w:cs="Times New Roman"/>
          <w:b w:val="0"/>
          <w:bCs w:val="0"/>
          <w:color w:val="191919" w:themeColor="background1" w:themeShade="1A"/>
          <w:sz w:val="28"/>
          <w:szCs w:val="28"/>
          <w:lang w:val="en-US"/>
        </w:rPr>
        <w:t xml:space="preserve"> </w:t>
      </w:r>
      <w:r>
        <w:rPr>
          <w:rFonts w:ascii="Times New Roman" w:hAnsi="Times New Roman" w:cs="Times New Roman"/>
          <w:b w:val="0"/>
          <w:color w:val="191919" w:themeColor="background1" w:themeShade="1A"/>
          <w:sz w:val="28"/>
          <w:szCs w:val="28"/>
          <w:lang w:val="en-US"/>
        </w:rPr>
        <w:t>The BIS was founded in 1930 as a clearinghouse for German war reparations imposed by the Treaty of Versailles. The original members were Germany, Belgium, France, Britain, Italy, Japan, the U.S. and Switzerland. Reparations were discontinued shortly after the bank's founding, and the BIS became a forum for cooperation and a counterparty for transactions among central banks.</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The bank was officially neutral during World War II, but it was widely seen as abetting the Nazi war effort, beginning with its transfer of Czechoslovakian national bank gold to Germany's Reichsbank in early 1939. At the end of the war the Allies agreed to shut the BIS down, but the decision was not implemented, partly at </w:t>
      </w:r>
      <w:r>
        <w:fldChar w:fldCharType="begin"/>
      </w:r>
      <w:r>
        <w:instrText xml:space="preserve"> HYPERLINK "https://www.investopedia.com/terms/j/john_maynard_keynes.asp" </w:instrText>
      </w:r>
      <w:r>
        <w:fldChar w:fldCharType="separate"/>
      </w:r>
      <w:r>
        <w:rPr>
          <w:rStyle w:val="13"/>
          <w:rFonts w:eastAsiaTheme="minorEastAsia"/>
          <w:color w:val="191919" w:themeColor="background1" w:themeShade="1A"/>
          <w:sz w:val="28"/>
          <w:szCs w:val="28"/>
          <w:u w:val="none"/>
          <w:lang w:val="en-US"/>
        </w:rPr>
        <w:t>John Maynard Keynes'</w:t>
      </w:r>
      <w:r>
        <w:rPr>
          <w:rStyle w:val="13"/>
          <w:rFonts w:eastAsiaTheme="minorEastAsia"/>
          <w:color w:val="191919" w:themeColor="background1" w:themeShade="1A"/>
          <w:sz w:val="28"/>
          <w:szCs w:val="28"/>
          <w:u w:val="none"/>
          <w:lang w:val="en-US"/>
        </w:rPr>
        <w:fldChar w:fldCharType="end"/>
      </w:r>
      <w:r>
        <w:rPr>
          <w:color w:val="191919" w:themeColor="background1" w:themeShade="1A"/>
          <w:sz w:val="28"/>
          <w:szCs w:val="28"/>
          <w:lang w:val="en-US"/>
        </w:rPr>
        <w:t> urging. While the </w:t>
      </w:r>
      <w:r>
        <w:fldChar w:fldCharType="begin"/>
      </w:r>
      <w:r>
        <w:rPr>
          <w:lang w:val="en-US"/>
        </w:rPr>
        <w:instrText xml:space="preserve"> HYPERLINK "https://www.investopedia.com/terms/b/brettonwoodsagreement.asp" </w:instrText>
      </w:r>
      <w:r>
        <w:fldChar w:fldCharType="separate"/>
      </w:r>
      <w:r>
        <w:rPr>
          <w:rStyle w:val="13"/>
          <w:rFonts w:eastAsiaTheme="minorEastAsia"/>
          <w:color w:val="191919" w:themeColor="background1" w:themeShade="1A"/>
          <w:sz w:val="28"/>
          <w:szCs w:val="28"/>
          <w:u w:val="none"/>
          <w:lang w:val="en-US"/>
        </w:rPr>
        <w:t>Bretton Woods</w:t>
      </w:r>
      <w:r>
        <w:rPr>
          <w:rStyle w:val="13"/>
          <w:rFonts w:eastAsiaTheme="minorEastAsia"/>
          <w:color w:val="191919" w:themeColor="background1" w:themeShade="1A"/>
          <w:sz w:val="28"/>
          <w:szCs w:val="28"/>
          <w:u w:val="none"/>
          <w:lang w:val="en-US"/>
        </w:rPr>
        <w:fldChar w:fldCharType="end"/>
      </w:r>
      <w:r>
        <w:rPr>
          <w:color w:val="191919" w:themeColor="background1" w:themeShade="1A"/>
          <w:sz w:val="28"/>
          <w:szCs w:val="28"/>
          <w:lang w:val="en-US"/>
        </w:rPr>
        <w:t> agreement remained in effect, the BIS played a crucial role in maintaining international currency convertibility. It also acted as the agent for the 18-country European Payments Union, a settlement system that helped restore convertibility among European currencies from 1950 to 1958.</w:t>
      </w:r>
    </w:p>
    <w:p>
      <w:pPr>
        <w:pStyle w:val="10"/>
        <w:spacing w:before="0" w:beforeAutospacing="0" w:after="0" w:afterAutospacing="0"/>
        <w:ind w:firstLine="567"/>
        <w:jc w:val="both"/>
        <w:rPr>
          <w:color w:val="191919" w:themeColor="background1" w:themeShade="1A"/>
          <w:sz w:val="28"/>
          <w:szCs w:val="28"/>
          <w:lang w:val="en-US"/>
        </w:rPr>
      </w:pPr>
      <w:r>
        <w:rPr>
          <w:color w:val="191919" w:themeColor="background1" w:themeShade="1A"/>
          <w:sz w:val="28"/>
          <w:szCs w:val="28"/>
          <w:lang w:val="en-US"/>
        </w:rPr>
        <w:t>When the world transitioned to floating exchange rates in the 1970s, the BIS and BCBS focused on financial stability, developing capital requirements for banks based on the riskiness of their financial positions. The resulting Basel Accords have been adopted widely by national governments to regulate their banking systems. Negotiations on </w:t>
      </w:r>
      <w:r>
        <w:fldChar w:fldCharType="begin"/>
      </w:r>
      <w:r>
        <w:instrText xml:space="preserve"> HYPERLINK "https://www.investopedia.com/terms/b/basell-iii.asp" </w:instrText>
      </w:r>
      <w:r>
        <w:fldChar w:fldCharType="separate"/>
      </w:r>
      <w:r>
        <w:rPr>
          <w:rStyle w:val="13"/>
          <w:rFonts w:eastAsiaTheme="minorEastAsia"/>
          <w:color w:val="191919" w:themeColor="background1" w:themeShade="1A"/>
          <w:sz w:val="28"/>
          <w:szCs w:val="28"/>
          <w:u w:val="none"/>
          <w:lang w:val="en-US"/>
        </w:rPr>
        <w:t>Basel III</w:t>
      </w:r>
      <w:r>
        <w:rPr>
          <w:rStyle w:val="13"/>
          <w:rFonts w:eastAsiaTheme="minorEastAsia"/>
          <w:color w:val="191919" w:themeColor="background1" w:themeShade="1A"/>
          <w:sz w:val="28"/>
          <w:szCs w:val="28"/>
          <w:u w:val="none"/>
          <w:lang w:val="en-US"/>
        </w:rPr>
        <w:fldChar w:fldCharType="end"/>
      </w:r>
      <w:r>
        <w:rPr>
          <w:color w:val="191919" w:themeColor="background1" w:themeShade="1A"/>
          <w:sz w:val="28"/>
          <w:szCs w:val="28"/>
          <w:lang w:val="en-US"/>
        </w:rPr>
        <w:t>, an update to previous accords that came as a response to the financial crisis, were completed in December 2017.</w:t>
      </w:r>
    </w:p>
    <w:p>
      <w:pPr>
        <w:pStyle w:val="18"/>
        <w:spacing w:after="0" w:line="240" w:lineRule="auto"/>
        <w:ind w:left="0"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br w:type="textWrapping"/>
      </w:r>
      <w:r>
        <w:rPr>
          <w:rFonts w:ascii="Times New Roman" w:hAnsi="Times New Roman" w:cs="Times New Roman"/>
          <w:color w:val="191919" w:themeColor="background1" w:themeShade="1A"/>
          <w:sz w:val="28"/>
          <w:szCs w:val="28"/>
          <w:lang w:val="en-US"/>
        </w:rPr>
        <w:t>Questions:</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describe the financial globalization: opportunity and crisis?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Please can you explain the Theories of crises?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Tell the main drivers of economic growth.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describe the Managing Global economic and financial crisis?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Please can you explain the Regulation of international banking? And the BIS recommendations. </w:t>
      </w:r>
    </w:p>
    <w:p>
      <w:pPr>
        <w:spacing w:after="0" w:line="240" w:lineRule="auto"/>
        <w:rPr>
          <w:rFonts w:ascii="Times New Roman" w:hAnsi="Times New Roman" w:cs="Times New Roman"/>
          <w:color w:val="191919" w:themeColor="background1" w:themeShade="1A"/>
          <w:sz w:val="28"/>
          <w:szCs w:val="28"/>
          <w:lang w:val="en-US" w:eastAsia="ko-KR"/>
        </w:rPr>
      </w:pPr>
      <w:r>
        <w:rPr>
          <w:rFonts w:ascii="Times New Roman" w:hAnsi="Times New Roman" w:cs="Times New Roman"/>
          <w:color w:val="191919" w:themeColor="background1" w:themeShade="1A"/>
          <w:sz w:val="28"/>
          <w:szCs w:val="28"/>
          <w:lang w:val="en-US"/>
        </w:rPr>
        <w:t>Can you describe the global financial regulatory cooperation?</w:t>
      </w:r>
    </w:p>
    <w:p>
      <w:pPr>
        <w:pStyle w:val="18"/>
        <w:spacing w:after="0" w:line="240" w:lineRule="auto"/>
        <w:ind w:left="0" w:firstLine="567"/>
        <w:jc w:val="center"/>
        <w:rPr>
          <w:rFonts w:ascii="Times New Roman" w:hAnsi="Times New Roman" w:cs="Times New Roman"/>
          <w:color w:val="191919" w:themeColor="background1" w:themeShade="1A"/>
          <w:sz w:val="28"/>
          <w:szCs w:val="28"/>
          <w:lang w:val="en-US"/>
        </w:rPr>
      </w:pPr>
    </w:p>
    <w:p>
      <w:pPr>
        <w:spacing w:after="0" w:line="240" w:lineRule="auto"/>
        <w:jc w:val="center"/>
        <w:rPr>
          <w:rFonts w:ascii="Times New Roman" w:hAnsi="Times New Roman" w:cs="Times New Roman"/>
          <w:color w:val="191919" w:themeColor="background1" w:themeShade="1A"/>
          <w:sz w:val="28"/>
          <w:szCs w:val="28"/>
          <w:lang w:val="en-US" w:eastAsia="ko-KR"/>
        </w:rPr>
      </w:pPr>
      <w:r>
        <w:rPr>
          <w:rFonts w:ascii="Times New Roman" w:hAnsi="Times New Roman" w:cs="Times New Roman"/>
          <w:color w:val="191919" w:themeColor="background1" w:themeShade="1A"/>
          <w:sz w:val="28"/>
          <w:szCs w:val="28"/>
          <w:lang w:val="en-US" w:eastAsia="ko-KR"/>
        </w:rPr>
        <w:t>References:</w:t>
      </w:r>
    </w:p>
    <w:p>
      <w:pPr>
        <w:pStyle w:val="18"/>
        <w:numPr>
          <w:ilvl w:val="0"/>
          <w:numId w:val="46"/>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Adonis, A. (2017, September 17). Lines open for the global village. </w:t>
      </w:r>
      <w:r>
        <w:rPr>
          <w:rFonts w:ascii="Times New Roman" w:hAnsi="Times New Roman" w:eastAsia="Times New Roman" w:cs="Times New Roman"/>
          <w:iCs/>
          <w:color w:val="191919" w:themeColor="background1" w:themeShade="1A"/>
          <w:sz w:val="28"/>
          <w:szCs w:val="28"/>
          <w:lang w:val="en-US" w:eastAsia="ru-RU"/>
        </w:rPr>
        <w:t>Financial Times,</w:t>
      </w:r>
      <w:r>
        <w:rPr>
          <w:rFonts w:ascii="Times New Roman" w:hAnsi="Times New Roman" w:eastAsia="Times New Roman" w:cs="Times New Roman"/>
          <w:color w:val="191919" w:themeColor="background1" w:themeShade="1A"/>
          <w:sz w:val="28"/>
          <w:szCs w:val="28"/>
          <w:lang w:val="en-US" w:eastAsia="ru-RU"/>
        </w:rPr>
        <w:t> p. 8.</w:t>
      </w:r>
    </w:p>
    <w:p>
      <w:pPr>
        <w:pStyle w:val="18"/>
        <w:numPr>
          <w:ilvl w:val="0"/>
          <w:numId w:val="46"/>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Braithwaite, John, and Drahos, Peter (2013). </w:t>
      </w:r>
      <w:r>
        <w:rPr>
          <w:rFonts w:ascii="Times New Roman" w:hAnsi="Times New Roman" w:eastAsia="Times New Roman" w:cs="Times New Roman"/>
          <w:iCs/>
          <w:color w:val="191919" w:themeColor="background1" w:themeShade="1A"/>
          <w:sz w:val="28"/>
          <w:szCs w:val="28"/>
          <w:lang w:val="en-US" w:eastAsia="ru-RU"/>
        </w:rPr>
        <w:t>Global business regulation.</w:t>
      </w:r>
      <w:r>
        <w:rPr>
          <w:rFonts w:ascii="Times New Roman" w:hAnsi="Times New Roman" w:eastAsia="Times New Roman" w:cs="Times New Roman"/>
          <w:color w:val="191919" w:themeColor="background1" w:themeShade="1A"/>
          <w:sz w:val="28"/>
          <w:szCs w:val="28"/>
          <w:lang w:val="en-US" w:eastAsia="ru-RU"/>
        </w:rPr>
        <w:t> </w:t>
      </w:r>
      <w:r>
        <w:fldChar w:fldCharType="begin"/>
      </w:r>
      <w:r>
        <w:instrText xml:space="preserve"> HYPERLINK "https://www.encyclopedia.com/places/united-states-and-canada/us-political-geography/new-york" </w:instrText>
      </w:r>
      <w:r>
        <w:fldChar w:fldCharType="separate"/>
      </w:r>
      <w:r>
        <w:rPr>
          <w:rFonts w:ascii="Times New Roman" w:hAnsi="Times New Roman" w:eastAsia="Times New Roman" w:cs="Times New Roman"/>
          <w:color w:val="191919" w:themeColor="background1" w:themeShade="1A"/>
          <w:sz w:val="28"/>
          <w:szCs w:val="28"/>
          <w:lang w:val="en-US" w:eastAsia="ru-RU"/>
        </w:rPr>
        <w:t>New York</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w:t>
      </w:r>
      <w:r>
        <w:fldChar w:fldCharType="begin"/>
      </w:r>
      <w:r>
        <w:instrText xml:space="preserve"> HYPERLINK "https://www.encyclopedia.com/social-sciences-and-law/education/colleges-international/cambridge-university" </w:instrText>
      </w:r>
      <w:r>
        <w:fldChar w:fldCharType="separate"/>
      </w:r>
      <w:r>
        <w:rPr>
          <w:rFonts w:ascii="Times New Roman" w:hAnsi="Times New Roman" w:eastAsia="Times New Roman" w:cs="Times New Roman"/>
          <w:color w:val="191919" w:themeColor="background1" w:themeShade="1A"/>
          <w:sz w:val="28"/>
          <w:szCs w:val="28"/>
          <w:lang w:val="en-US" w:eastAsia="ru-RU"/>
        </w:rPr>
        <w:t>Cambridge University</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Press.</w:t>
      </w:r>
    </w:p>
    <w:p>
      <w:pPr>
        <w:pStyle w:val="18"/>
        <w:numPr>
          <w:ilvl w:val="0"/>
          <w:numId w:val="46"/>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Czinkota, Michael R., Ronkainen, Ilkka A., and Donath, Bob (2014). </w:t>
      </w:r>
      <w:r>
        <w:rPr>
          <w:rFonts w:ascii="Times New Roman" w:hAnsi="Times New Roman" w:eastAsia="Times New Roman" w:cs="Times New Roman"/>
          <w:iCs/>
          <w:color w:val="191919" w:themeColor="background1" w:themeShade="1A"/>
          <w:sz w:val="28"/>
          <w:szCs w:val="28"/>
          <w:lang w:val="en-US" w:eastAsia="ru-RU"/>
        </w:rPr>
        <w:t>Mastering global markets: Strategies for today's trade globalist.</w:t>
      </w:r>
      <w:r>
        <w:rPr>
          <w:rFonts w:ascii="Times New Roman" w:hAnsi="Times New Roman" w:eastAsia="Times New Roman" w:cs="Times New Roman"/>
          <w:color w:val="191919" w:themeColor="background1" w:themeShade="1A"/>
          <w:sz w:val="28"/>
          <w:szCs w:val="28"/>
          <w:lang w:val="en-US" w:eastAsia="ru-RU"/>
        </w:rPr>
        <w:t> Mason, OH: Thomson/Southwestern.</w:t>
      </w:r>
    </w:p>
    <w:p>
      <w:pPr>
        <w:pStyle w:val="18"/>
        <w:numPr>
          <w:ilvl w:val="0"/>
          <w:numId w:val="46"/>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Global economic integration. (n.d.). Retrieved February 22, 2016, from About.com Website: </w:t>
      </w:r>
      <w:r>
        <w:fldChar w:fldCharType="begin"/>
      </w:r>
      <w:r>
        <w:instrText xml:space="preserve"> HYPERLINK "http://economics.about.com/od/useconomichistory/a/global.htm" </w:instrText>
      </w:r>
      <w:r>
        <w:fldChar w:fldCharType="separate"/>
      </w:r>
      <w:r>
        <w:rPr>
          <w:rFonts w:ascii="Times New Roman" w:hAnsi="Times New Roman" w:eastAsia="Times New Roman" w:cs="Times New Roman"/>
          <w:color w:val="191919" w:themeColor="background1" w:themeShade="1A"/>
          <w:sz w:val="28"/>
          <w:szCs w:val="28"/>
          <w:lang w:val="en-US" w:eastAsia="ru-RU"/>
        </w:rPr>
        <w:t>http://economics.about.com/od/useconomichistory/a/global.htm</w:t>
      </w:r>
      <w:r>
        <w:rPr>
          <w:rFonts w:ascii="Times New Roman" w:hAnsi="Times New Roman" w:eastAsia="Times New Roman" w:cs="Times New Roman"/>
          <w:color w:val="191919" w:themeColor="background1" w:themeShade="1A"/>
          <w:sz w:val="28"/>
          <w:szCs w:val="28"/>
          <w:lang w:val="en-US" w:eastAsia="ru-RU"/>
        </w:rPr>
        <w:fldChar w:fldCharType="end"/>
      </w:r>
    </w:p>
    <w:p>
      <w:pPr>
        <w:pStyle w:val="18"/>
        <w:numPr>
          <w:ilvl w:val="0"/>
          <w:numId w:val="46"/>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Hill, Charles W. L. (2018). </w:t>
      </w:r>
      <w:r>
        <w:rPr>
          <w:rFonts w:ascii="Times New Roman" w:hAnsi="Times New Roman" w:eastAsia="Times New Roman" w:cs="Times New Roman"/>
          <w:iCs/>
          <w:color w:val="191919" w:themeColor="background1" w:themeShade="1A"/>
          <w:sz w:val="28"/>
          <w:szCs w:val="28"/>
          <w:lang w:val="en-US" w:eastAsia="ru-RU"/>
        </w:rPr>
        <w:t>Global business today</w:t>
      </w:r>
      <w:r>
        <w:rPr>
          <w:rFonts w:ascii="Times New Roman" w:hAnsi="Times New Roman" w:eastAsia="Times New Roman" w:cs="Times New Roman"/>
          <w:color w:val="191919" w:themeColor="background1" w:themeShade="1A"/>
          <w:sz w:val="28"/>
          <w:szCs w:val="28"/>
          <w:lang w:val="en-US" w:eastAsia="ru-RU"/>
        </w:rPr>
        <w:t> (4th ed.). Boston: McGraw-Hill/Irwin.</w:t>
      </w:r>
    </w:p>
    <w:p>
      <w:pPr>
        <w:pStyle w:val="18"/>
        <w:numPr>
          <w:ilvl w:val="0"/>
          <w:numId w:val="46"/>
        </w:numPr>
        <w:shd w:val="clear" w:color="auto" w:fill="FFFFFF"/>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iCs/>
          <w:color w:val="191919" w:themeColor="background1" w:themeShade="1A"/>
          <w:sz w:val="28"/>
          <w:szCs w:val="28"/>
          <w:lang w:val="en-US" w:eastAsia="ru-RU"/>
        </w:rPr>
        <w:t>What is global economy?</w:t>
      </w:r>
      <w:r>
        <w:rPr>
          <w:rFonts w:ascii="Times New Roman" w:hAnsi="Times New Roman" w:eastAsia="Times New Roman" w:cs="Times New Roman"/>
          <w:color w:val="191919" w:themeColor="background1" w:themeShade="1A"/>
          <w:sz w:val="28"/>
          <w:szCs w:val="28"/>
          <w:lang w:val="en-US" w:eastAsia="ru-RU"/>
        </w:rPr>
        <w:t xml:space="preserve"> Retrieved February 7, 2016, from PR Resource Center Web site: </w:t>
      </w:r>
      <w:r>
        <w:fldChar w:fldCharType="begin"/>
      </w:r>
      <w:r>
        <w:instrText xml:space="preserve"> HYPERLINK "http://www.ailins.com/agency/PR/unions/global_economy.html" </w:instrText>
      </w:r>
      <w:r>
        <w:fldChar w:fldCharType="separate"/>
      </w:r>
      <w:r>
        <w:rPr>
          <w:rStyle w:val="13"/>
          <w:rFonts w:ascii="Times New Roman" w:hAnsi="Times New Roman" w:eastAsia="Times New Roman" w:cs="Times New Roman"/>
          <w:color w:val="191919" w:themeColor="background1" w:themeShade="1A"/>
          <w:sz w:val="28"/>
          <w:szCs w:val="28"/>
          <w:lang w:val="en-US" w:eastAsia="ru-RU"/>
        </w:rPr>
        <w:t>http://www.ailins.com/agency/PR/unions/global_economy.html</w:t>
      </w:r>
      <w:r>
        <w:rPr>
          <w:rStyle w:val="13"/>
          <w:rFonts w:ascii="Times New Roman" w:hAnsi="Times New Roman" w:eastAsia="Times New Roman" w:cs="Times New Roman"/>
          <w:color w:val="191919" w:themeColor="background1" w:themeShade="1A"/>
          <w:sz w:val="28"/>
          <w:szCs w:val="28"/>
          <w:lang w:val="en-US" w:eastAsia="ru-RU"/>
        </w:rPr>
        <w:fldChar w:fldCharType="end"/>
      </w: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pStyle w:val="19"/>
        <w:jc w:val="both"/>
        <w:rPr>
          <w:color w:val="191919" w:themeColor="background1" w:themeShade="1A"/>
          <w:sz w:val="28"/>
          <w:szCs w:val="28"/>
          <w:lang w:val="en-US"/>
        </w:rPr>
      </w:pPr>
      <w:r>
        <w:rPr>
          <w:b/>
          <w:color w:val="191919" w:themeColor="background1" w:themeShade="1A"/>
          <w:sz w:val="28"/>
          <w:szCs w:val="28"/>
          <w:lang w:val="en-US"/>
        </w:rPr>
        <w:t xml:space="preserve">Subject 13. </w:t>
      </w:r>
      <w:r>
        <w:rPr>
          <w:b/>
          <w:bCs/>
          <w:color w:val="191919" w:themeColor="background1" w:themeShade="1A"/>
          <w:sz w:val="28"/>
          <w:szCs w:val="28"/>
          <w:lang w:val="en-US"/>
        </w:rPr>
        <w:t xml:space="preserve">Technological progress in the global economy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Knowledge as a factor of production.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Knowledge spillovers.   </w:t>
      </w:r>
    </w:p>
    <w:p>
      <w:pPr>
        <w:spacing w:after="0" w:line="240" w:lineRule="auto"/>
        <w:rPr>
          <w:rFonts w:ascii="Times New Roman" w:hAnsi="Times New Roman" w:cs="Times New Roman"/>
          <w:color w:val="191919" w:themeColor="background1" w:themeShade="1A"/>
          <w:sz w:val="28"/>
          <w:szCs w:val="28"/>
          <w:lang w:val="en-US" w:eastAsia="ko-KR"/>
        </w:rPr>
      </w:pPr>
      <w:r>
        <w:rPr>
          <w:rFonts w:ascii="Times New Roman" w:hAnsi="Times New Roman" w:cs="Times New Roman"/>
          <w:color w:val="191919" w:themeColor="background1" w:themeShade="1A"/>
          <w:sz w:val="28"/>
          <w:szCs w:val="28"/>
          <w:lang w:val="en-US"/>
        </w:rPr>
        <w:t>Intellectual property.</w:t>
      </w:r>
    </w:p>
    <w:p>
      <w:pPr>
        <w:pStyle w:val="19"/>
        <w:jc w:val="both"/>
        <w:rPr>
          <w:color w:val="191919" w:themeColor="background1" w:themeShade="1A"/>
          <w:sz w:val="28"/>
          <w:szCs w:val="28"/>
          <w:lang w:val="en-US"/>
        </w:rPr>
      </w:pPr>
    </w:p>
    <w:p>
      <w:pPr>
        <w:pStyle w:val="19"/>
        <w:jc w:val="both"/>
        <w:rPr>
          <w:b/>
          <w:color w:val="191919" w:themeColor="background1" w:themeShade="1A"/>
          <w:sz w:val="28"/>
          <w:szCs w:val="28"/>
          <w:lang w:val="en-US"/>
        </w:rPr>
      </w:pPr>
      <w:r>
        <w:rPr>
          <w:b/>
          <w:color w:val="191919" w:themeColor="background1" w:themeShade="1A"/>
          <w:sz w:val="28"/>
          <w:szCs w:val="28"/>
          <w:lang w:val="en-US"/>
        </w:rPr>
        <w:t xml:space="preserve">1.Knowledge as a factor of production. </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Since at least the eighteenth century, a good part of the world has experienced ongoing gains in the standard of living, a process Simon Kuznets has labeled "Modern Economic Growth." Economists have long sought to understand the forces behind this phenomenon. Accumulation of physical capital provided a simple and natural explanation. But Robert Solow's fundamental work in the late 1950s showed that capital accumulation could account for less than half of the growth in U.S. income per capita. Solow suggested that ongoing improvements in technology might tell the rest of the story. While subsequent work refined Solow's analysis, it did little to upset the basic conclusion that capital accumulation provides a very incomplete explanation for why countries grow.</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 xml:space="preserve">While interest in growth waned in the 1970s, the last decade and a half has seen a resurgence of research on why incomes rise over time, and why some countries are richer than others. There are now a number of elegant </w:t>
      </w:r>
      <w:r>
        <w:rPr>
          <w:rFonts w:ascii="Times New Roman" w:hAnsi="Times New Roman" w:eastAsia="Times New Roman" w:cs="Times New Roman"/>
          <w:iCs/>
          <w:color w:val="191919" w:themeColor="background1" w:themeShade="1A"/>
          <w:sz w:val="28"/>
          <w:szCs w:val="28"/>
          <w:lang w:val="en-US" w:eastAsia="ru-RU"/>
        </w:rPr>
        <w:t>theories</w:t>
      </w:r>
      <w:r>
        <w:rPr>
          <w:rFonts w:ascii="Times New Roman" w:hAnsi="Times New Roman" w:eastAsia="Times New Roman" w:cs="Times New Roman"/>
          <w:color w:val="191919" w:themeColor="background1" w:themeShade="1A"/>
          <w:sz w:val="28"/>
          <w:szCs w:val="28"/>
          <w:lang w:val="en-US" w:eastAsia="ru-RU"/>
        </w:rPr>
        <w:t xml:space="preserve"> of how technological progress drives growth. But in turning the spotlight to technology rather than to investment, Solow made the job of </w:t>
      </w:r>
      <w:r>
        <w:rPr>
          <w:rFonts w:ascii="Times New Roman" w:hAnsi="Times New Roman" w:eastAsia="Times New Roman" w:cs="Times New Roman"/>
          <w:iCs/>
          <w:color w:val="191919" w:themeColor="background1" w:themeShade="1A"/>
          <w:sz w:val="28"/>
          <w:szCs w:val="28"/>
          <w:lang w:val="en-US" w:eastAsia="ru-RU"/>
        </w:rPr>
        <w:t>quantifying</w:t>
      </w:r>
      <w:r>
        <w:rPr>
          <w:rFonts w:ascii="Times New Roman" w:hAnsi="Times New Roman" w:eastAsia="Times New Roman" w:cs="Times New Roman"/>
          <w:color w:val="191919" w:themeColor="background1" w:themeShade="1A"/>
          <w:sz w:val="28"/>
          <w:szCs w:val="28"/>
          <w:lang w:val="en-US" w:eastAsia="ru-RU"/>
        </w:rPr>
        <w:t xml:space="preserve"> the sources of growth, and assessing how polices affect growth, much harder.</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At the heart of the problem is measurement. We have imperfect, but usable, ways to measure resources diverted from other uses toward investment in capital. We can also gauge (much more roughly) how much capital is on hand. Such measures give us some handle on capital's contribution to growth over time and to differences in incomes across countries. But technology presents the empirical economist with a much more elusive concept. We don't observe people coming up with new ideas, and we can't systematically trace how these ideas shape the process of production over time and space.</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 number of basic questions, however, hinge on understanding how innovations occur, and how these innovations raise income levels around the world. For example: Do countries rely, for the most part, on their own innovations, or are the gains from innovation largely shared? Where does most innovation occur, and where are these innovations most rapidly put into practice? To the extent that the benefits of innovation seep across borders, do these gains spread through the exchange of products embodying these innovations, or through the diffusion of the ideas themselves?</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answers to these questions are of intrinsic interest, but they are also at the heart of any evaluation of the myriad government policies that affect innovation. For instance: What are the benefits and costs of tougher patent protection, and how are they shared across countries? Does a country recover the costs of giving research expenditures favorable tax treatment, or are the benefits largely dissipated through the diffusion of innovations abroad? What are the gains from coordinating research policies internationally? To what extent does greater openness spread the benefits of technical progress Samuel S. Kortum and I are engaged in a research project that attempts to shed light on these issues. Our framework builds on recent advances in growth theory and trade theory. We take this theoretical framework to a number of sources of data. We look not only at productivity across countries and over time; we also use data on research effort, patenting, education, and bilateral trade.</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Our research so far has pursued four broad sets of issues: 1) quantifying the contributions of innovation and diffusion to world growth, 2) explaining differences in research effort across countries, 3) analyzing the effects of national technology policies in an international context, and 4) assessing the role of trade in disseminating the benefits of technological advances between countries. I discuss our results on each category, and then turn to work-in-progress.</w:t>
      </w:r>
    </w:p>
    <w:p>
      <w:pPr>
        <w:spacing w:after="0" w:line="240" w:lineRule="auto"/>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lang w:val="en-US" w:eastAsia="ru-RU"/>
        </w:rPr>
        <w:t>World Growth and the International Diffusion of Technology</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 series of papers has sought to trace productivity improvements in different countries to the countries that generated the innovations behind them.</w:t>
      </w:r>
      <w:r>
        <w:rPr>
          <w:rFonts w:ascii="Times New Roman" w:hAnsi="Times New Roman" w:eastAsia="Times New Roman" w:cs="Times New Roman"/>
          <w:color w:val="191919" w:themeColor="background1" w:themeShade="1A"/>
          <w:sz w:val="28"/>
          <w:szCs w:val="28"/>
          <w:vertAlign w:val="superscript"/>
          <w:lang w:val="en-US" w:eastAsia="ru-RU"/>
        </w:rPr>
        <w:t>1</w:t>
      </w:r>
      <w:r>
        <w:rPr>
          <w:rFonts w:ascii="Times New Roman" w:hAnsi="Times New Roman" w:eastAsia="Times New Roman" w:cs="Times New Roman"/>
          <w:color w:val="191919" w:themeColor="background1" w:themeShade="1A"/>
          <w:sz w:val="28"/>
          <w:szCs w:val="28"/>
          <w:lang w:val="en-US" w:eastAsia="ru-RU"/>
        </w:rPr>
        <w:t xml:space="preserve"> Because they do nearly all of the world's research, we focus on countries that are members of the Organization for Economic Cooperation and Development (OECD).</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We use output per worker as a measure of the extent to which countries make use of innovations. Over the past two decades, OECD countries have tended to grow at very similar rates, maintaining fairly stable relative productivity levels. This observation is consistent with a world in which countries draw on a common pool of inventions, with more productive countries taking advantage of more of these ideas, or else implementing them more quickly. It also suggests that not a great deal can be learned about growth by relating the growth rates of different countries to various characteristics. Countries differ much more systematically in their relative income levels than in their growth rates.</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We turn to various measures of research effort to try to get some handle on where innovative activity occurs. Such data include research expenditure (private or overall) and research scientists and engineers (private sector or overall). Whichever number one looks at, the message is that most research is performed in just three countries: the United States, Germany, and Japan. (France and the United Kingdom follow, not very closely, behind.) Not only do these countries devote more resources toward R&amp;D in absolute terms, but they also devote a larger fraction of their resources toward R&amp;D than any but a handful of small, though technically advanced, countries such as Sweden and Switzerland.</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Hence research activity is quite concentrated, but a number of countries that do relatively little research enjoy high levels of productivity. For example, by most measures, productivity levels in France and Germany are very similar, but Germany does about twice as much research, both absolutely and relative to size. Such observations suggest that a large number of countries make use of innovations from a small number that concentrate on research.</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Standard measures can thus give us some insight into who is benefiting from innovations and who is doing research fairly straightforwardly. Even trickier to determine is inferring whose innovations countries are tapping. For this purpose we've turned to data on international patenting.</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 feature of the international patenting system is that an inventor, in order to obtain patent protection in any particular country, has to take out a patent there. Applying for a patent is costly, and most inventions are patented in only one country. Hence an inventor, in deciding to patent an invention in a particular country, is likely to expect that the invention has some chance of being used there. Observing, for example, the number of patents that French inventors take out in Japan might tell us something about how much technology is flowing from France to Japan. A French inventor would have little reason to apply for a patent in Japan unless he or she thought it had a good shot at being used there sooner or later. Of course other factors would affect the decision as well, such as the cost of patenting in Japan, the size of the market there, and the quality of protection that the Japanese patent system provides a French inventor. Inferring the extent of technology diffusion from the patenting data requires taking these other factors into account.</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What patterns in international patenting do we observe? First, countries that put the most resources into inventive activity do in fact patent most broadly. The United States, Japan, and Germany dominate patenting by foreigners in other OECD countries. Second, larger countries are much more popular destinations for patent applications, suggesting that inventors do in fact find the bother of applying for a patent much more worthwhile when the market in which they are seeking protection is large. Third, for similar reasons, higher costs of patenting (application fees, translation costs, and legal fees) tend to deter patenting. (Patenting in Japan is particularly expensive for foreigners.) Fourth, inventors are more likely to patent an invention at home than anywhere else. Fifth, inventors are more likely to take out patents in nearby countries rather than ones far away from their own. Japan, for example, is the largest foreign patenter in the United States and, after the United States, in Canada. But in many European countries, West Germany beats out Japan.</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data themselves provide a lot of insight about what is going on. But getting a more precise picture of how innovation and diffusion drive world growth requires embedding these data into a framework that accounts for how markets allocate resources between current production and innovation, and how innovators decide where to patent their inventions. For this purpose we use a multicountry model of innovation and diffusion that incorporates these phenomena.A key goal is to assess the contribution that different countries are making to growth around the world. Among other things, our approach allocates technical progress in each country, its "Solow residual," to the countries whose innovations drive it. What we learn is that the United States, Japan, and Germany are overwhelmingly the major sources of innovation in the world economy: More than half the growth of the countries we consider derives from innovations from these three countries. While the extent of international diffusion is substantial, it is not complete. Innovations appear to be about two-thirds as potent abroad as they are at home, and each country makes its greatest contribution to growth at home.</w:t>
      </w:r>
    </w:p>
    <w:p>
      <w:pPr>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lang w:val="en-US" w:eastAsia="ru-RU"/>
        </w:rPr>
        <w:t>Why Some Countries Do Much More Research than Others</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On average, countries in Europe do less research than the United States or Japan, not only in absolute terms but also relative to their size and resources. Moreover, countries within Europe vary enormously in the share of resources they devote toward research and in terms of how much patenting they do at home and abroad.Eva Gutierrez, Kortum, and I adapt our framework to evaluate alternative explanations for cross-country differences in research effort.</w:t>
      </w:r>
      <w:r>
        <w:rPr>
          <w:rFonts w:ascii="Times New Roman" w:hAnsi="Times New Roman" w:eastAsia="Times New Roman" w:cs="Times New Roman"/>
          <w:color w:val="191919" w:themeColor="background1" w:themeShade="1A"/>
          <w:sz w:val="28"/>
          <w:szCs w:val="28"/>
          <w:vertAlign w:val="superscript"/>
          <w:lang w:val="en-US" w:eastAsia="ru-RU"/>
        </w:rPr>
        <w:t>2</w:t>
      </w:r>
      <w:r>
        <w:rPr>
          <w:rFonts w:ascii="Times New Roman" w:hAnsi="Times New Roman" w:eastAsia="Times New Roman" w:cs="Times New Roman"/>
          <w:color w:val="191919" w:themeColor="background1" w:themeShade="1A"/>
          <w:sz w:val="28"/>
          <w:szCs w:val="28"/>
          <w:lang w:val="en-US" w:eastAsia="ru-RU"/>
        </w:rPr>
        <w:t xml:space="preserve"> One possibility is that these differences reflect specialization in more or less research-intensive goods. Switzerland, for example, might do a lot of research because of its large pharmaceutical industry, and pharmaceuticals are research-intensive. This explanation holds water, of course, only if research needs to be done where the inventions are used. We find, however, that countries that do a lot of research tend to do it across the board, in all industries. Hence cross-country differences in research effort seems to say more about differences in the countries themselves than in the goods that they produce.It may be that some countries are simply better at doing research than others, or else that some countries provide greater rewards to doing research. We find that the second explanation seems to have much more to do with why many smaller European countries do so little research. Because of their small size and the difficulty of appropriating returns to inventions abroad, firms in these countries turn to other activities.</w:t>
      </w:r>
    </w:p>
    <w:p>
      <w:pPr>
        <w:spacing w:after="0" w:line="240" w:lineRule="auto"/>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lang w:val="en-US" w:eastAsia="ru-RU"/>
        </w:rPr>
        <w:t>What Policy Can Do</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Since patenting is a major component of our empirical analysis, a natural question is what patent protection contributes to innovation and growth. In fact, our results indicate that the current patent system provides only modest protection from imitation. On the one hand, even if an idea is not patented, it may take a while for someone to figure out how to copy it. On the other hand, patents eventually expire, and even an active patent does not provide an ironclad guarantee that an idea won't be stolen. Imitation is often hard to detect, and enforcing the patent can be costly. These difficulties are especially formidable for patents held abroad.Indeed, we find that eliminating patent protection entirely would reduce world incomes by fairly small amounts. At the same time, a patent system that provides much tougher protection than the current one could do much to stimulate growth.</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Most policies toward technology are pursued nationally. But as long as ideas cross borders, national policies have global effects. There are consequently many reasons to think that countries might benefit from coordinating and harmonizing technology policy. Gutierrez, Kortum, and I consider various aspects of technology policy in Europe. We find that there is enormous scope for free riding. Many policies that would benefit Europe as a whole generate such large cross-border externalities that they are not worthwhile at the national level. We find, for example, that tougher patent protection within the European Union (EU) would raise incomes everywhere, but the increase outside the EU is even greater. The reason is that non-EU countries benefit from the stimulus to research but do not have to bear the cost of the more pervasive monopoly power that tougher protection entails. Our results suggest that the payoff to providing European inventors a common market for their ideas is potentially quite large.</w:t>
      </w:r>
    </w:p>
    <w:p>
      <w:pPr>
        <w:spacing w:after="0" w:line="240" w:lineRule="auto"/>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lang w:val="en-US" w:eastAsia="ru-RU"/>
        </w:rPr>
        <w:t>Technology and Trade</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To what extent does trade bring the fruits of technological progress to foreign shores? The idea that trade has an explanation in technology has its origins with David Ricardo. But the Ricardian model has resisted generalization to many countries and the incorporation of trade barriers - two extensions needed for any serious empirical analysis.It turns out, however, that in our model of innovation these extensions are quite straightforward. Kortum and I extend our framework to analyze bilateral trade in manufactures among a sample of OECD countries.</w:t>
      </w:r>
      <w:r>
        <w:rPr>
          <w:rFonts w:ascii="Times New Roman" w:hAnsi="Times New Roman" w:eastAsia="Times New Roman" w:cs="Times New Roman"/>
          <w:color w:val="191919" w:themeColor="background1" w:themeShade="1A"/>
          <w:sz w:val="28"/>
          <w:szCs w:val="28"/>
          <w:vertAlign w:val="superscript"/>
          <w:lang w:val="en-US" w:eastAsia="ru-RU"/>
        </w:rPr>
        <w:t>3</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Among other things, we examine how the competing forces of technology and geography shape production and trade patterns in manufacturing. When transport costs are very high, countries with large internal markets tend to attract manufacturing, since inputs tend to be much cheaper there. As transport costs fall, large countries lose their edge to countries with better technology for producing manufactures regardless of their size. We estimate, for example, that a drop in transport costs from their current levels will tend to shift manufacturing from Germany to Denmark, since the second country will then find its relative isolation less of a handicap.We also consider the classic question of the gains from trade in manufactures among our sample of countries. A dramatic finding is the extent to which they remain unexploited. At their current levels, trade barriers keep countries much closer to a world of autarky than a world in which manufactured goods could be moved costlessly across borders.Given the size of current trade barriers, to what extent can trade spread the benefits of technological progress through the exchange of goods embodying innovations? We find that barriers are too high for trade to serve as the major conduit for the spread of new technology except, in some cases, to small countries very near the source of innovation. The results suggest that the benefits of innovation spread primarily through the transmission of the ideas themselves, rather than through the export of goods embodying them.</w:t>
      </w:r>
    </w:p>
    <w:p>
      <w:pPr>
        <w:spacing w:after="0" w:line="240" w:lineRule="auto"/>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b/>
          <w:bCs/>
          <w:color w:val="191919" w:themeColor="background1" w:themeShade="1A"/>
          <w:sz w:val="28"/>
          <w:szCs w:val="28"/>
          <w:lang w:val="en-US" w:eastAsia="ru-RU"/>
        </w:rPr>
        <w:t>What's Next</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Our work on the topics discussed so far is largely complete, but we regard it in large part as a platform from which to launch investigations of many additional questions. Right now we are exploring three fronts.One project is to examine the technology and trade issues that we have raised here at a sectoral level. A particular question is the extent to which countries carve out a comparative advantage in particular manufacturing activities through research efforts. A second project seeks to complete the link between our model of innovation and international trade: we explore the extent to which openness to trade fosters innovation and growth. Finally, Kortum and I have teamed up with Andrew Bernard and Brad Jensen to connect our work, which focuses on aggregate measures of trade and innovation, with their work on the productivity and export behavior of individual U.S. firms and establishments. It turns out that our methodology provides a simple way to link aggregate with plant-level data. A goal here is to understand the connection between factors that affect trade at the aggregate level and what happens to individual plants. We can relate, for example, the implications of greater openness for plant closings and for the fraction of remaining plants that export.These completed and ongoing projects all involve linking economic theory to data about the world economy. A common goal is to provide a clearer quantitative picture of the role of technology in the global economy.</w:t>
      </w:r>
    </w:p>
    <w:p>
      <w:pPr>
        <w:spacing w:after="0" w:line="240" w:lineRule="auto"/>
        <w:jc w:val="both"/>
        <w:rPr>
          <w:rStyle w:val="37"/>
          <w:rFonts w:ascii="Times New Roman" w:hAnsi="Times New Roman" w:cs="Times New Roman"/>
          <w:color w:val="191919" w:themeColor="background1" w:themeShade="1A"/>
          <w:sz w:val="28"/>
          <w:szCs w:val="28"/>
          <w:lang w:val="en-US"/>
        </w:rPr>
      </w:pPr>
      <w:r>
        <w:rPr>
          <w:rStyle w:val="37"/>
          <w:rFonts w:ascii="Times New Roman" w:hAnsi="Times New Roman" w:cs="Times New Roman"/>
          <w:b/>
          <w:color w:val="191919" w:themeColor="background1" w:themeShade="1A"/>
          <w:sz w:val="28"/>
          <w:szCs w:val="28"/>
          <w:lang w:val="en-US"/>
        </w:rPr>
        <w:t>Scientific and technical progress: essence, problems of reproduction by the economic system</w:t>
      </w:r>
    </w:p>
    <w:p>
      <w:pPr>
        <w:spacing w:after="0" w:line="240" w:lineRule="auto"/>
        <w:ind w:firstLine="567"/>
        <w:jc w:val="both"/>
        <w:rPr>
          <w:rStyle w:val="37"/>
          <w:rFonts w:ascii="Times New Roman" w:hAnsi="Times New Roman" w:cs="Times New Roman"/>
          <w:color w:val="191919" w:themeColor="background1" w:themeShade="1A"/>
          <w:sz w:val="28"/>
          <w:szCs w:val="28"/>
          <w:lang w:val="en-US"/>
        </w:rPr>
      </w:pPr>
      <w:r>
        <w:rPr>
          <w:rStyle w:val="37"/>
          <w:rFonts w:ascii="Times New Roman" w:hAnsi="Times New Roman" w:cs="Times New Roman"/>
          <w:color w:val="191919" w:themeColor="background1" w:themeShade="1A"/>
          <w:sz w:val="28"/>
          <w:szCs w:val="28"/>
          <w:lang w:val="en-US"/>
        </w:rPr>
        <w:t>The modern world has been shaped by a number of factors, the main of which is scientific and technological progress (NTP). The main features of the modern world are determined by the NTP. Scientific and technical progress is the basis of modern civilization. He is only 300-350 years old. It was then that the industrial civilization arose. NTP permeates the entire civilization (activity, life of people). NTP is twofold: it has both positive and negative features. Positive - improving comfort, negative - environmental (comfort leads to an environmental crisis) and cultural (due to the development of communication tools there is no need for direct contact).</w:t>
      </w:r>
    </w:p>
    <w:p>
      <w:pPr>
        <w:spacing w:after="0" w:line="240" w:lineRule="auto"/>
        <w:ind w:firstLine="567"/>
        <w:jc w:val="both"/>
        <w:rPr>
          <w:rStyle w:val="37"/>
          <w:rFonts w:ascii="Times New Roman" w:hAnsi="Times New Roman" w:cs="Times New Roman"/>
          <w:color w:val="191919" w:themeColor="background1" w:themeShade="1A"/>
          <w:sz w:val="28"/>
          <w:szCs w:val="28"/>
          <w:lang w:val="en-US"/>
        </w:rPr>
      </w:pPr>
      <w:r>
        <w:rPr>
          <w:rStyle w:val="37"/>
          <w:rFonts w:ascii="Times New Roman" w:hAnsi="Times New Roman" w:cs="Times New Roman"/>
          <w:color w:val="191919" w:themeColor="background1" w:themeShade="1A"/>
          <w:sz w:val="28"/>
          <w:szCs w:val="28"/>
          <w:lang w:val="en-US"/>
        </w:rPr>
        <w:t>Scientific and technical progress (NTP) is a process of constant renewal of all elements of reproduction, the main place in which belongs to the renewal of equipment and technology. This question is eternal and constant, as is the eternal and constant work of human thought, designed to facilitate and reduce the cost of human and mental labor to achieve the final result in labor activity.</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main socio-economic purpose of the implementation of the achievements of NTP is to reduce the cost of a unit of production, that is, to reduce the total (living and materialized) labor costs per unit of production. This mission is the main function of the NTP, which allows to resolve the contradiction between the ever-expanding economic needs of human society and the limited possibilities for their satisfaction.</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implementation of the main function allows you to reallocate the cumulative working time, using it to meet some needs, as well as the production and satisfaction of others.</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The practical implementation of the achievements of NTP can be represented as follows:</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 first of all, an increase in the technical equipment of the worker’s labor, that is, an increase in the ratio of machinery / worker, or production assets / worker;</w:t>
      </w:r>
      <w:r>
        <w:rPr>
          <w:rFonts w:ascii="Times New Roman" w:hAnsi="Times New Roman" w:eastAsia="Times New Roman" w:cs="Times New Roman"/>
          <w:color w:val="191919" w:themeColor="background1" w:themeShade="1A"/>
          <w:sz w:val="28"/>
          <w:szCs w:val="28"/>
          <w:lang w:val="en-US" w:eastAsia="ru-RU"/>
        </w:rPr>
        <w:br w:type="textWrapping"/>
      </w:r>
      <w:r>
        <w:rPr>
          <w:rFonts w:ascii="Times New Roman" w:hAnsi="Times New Roman" w:eastAsia="Times New Roman" w:cs="Times New Roman"/>
          <w:color w:val="191919" w:themeColor="background1" w:themeShade="1A"/>
          <w:sz w:val="28"/>
          <w:szCs w:val="28"/>
          <w:lang w:val="en-US" w:eastAsia="ru-RU"/>
        </w:rPr>
        <w:t>- the growth of technical equipment of labor, which is not an end in itself, but serves as a material condition for the growth of labor productivity, that is, an increase in the product / employee ratio;</w:t>
      </w:r>
    </w:p>
    <w:p>
      <w:pPr>
        <w:spacing w:after="0" w:line="240" w:lineRule="auto"/>
        <w:ind w:firstLine="567"/>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 the ultimate goal of the realization of the achievements of the NTP is the reduction of the total costs of social labor per unit of production, that is, the decrease in the ratio of total labor / production costs, or the growth of the ratio product / total labor costs.</w:t>
      </w:r>
    </w:p>
    <w:p>
      <w:pPr>
        <w:spacing w:after="0" w:line="240" w:lineRule="auto"/>
        <w:ind w:firstLine="567"/>
        <w:jc w:val="both"/>
        <w:rPr>
          <w:rStyle w:val="37"/>
          <w:rFonts w:ascii="Times New Roman" w:hAnsi="Times New Roman" w:cs="Times New Roman"/>
          <w:color w:val="191919" w:themeColor="background1" w:themeShade="1A"/>
          <w:sz w:val="28"/>
          <w:szCs w:val="28"/>
          <w:lang w:val="en-US"/>
        </w:rPr>
      </w:pPr>
      <w:r>
        <w:rPr>
          <w:rStyle w:val="37"/>
          <w:rFonts w:ascii="Times New Roman" w:hAnsi="Times New Roman" w:cs="Times New Roman"/>
          <w:color w:val="191919" w:themeColor="background1" w:themeShade="1A"/>
          <w:sz w:val="28"/>
          <w:szCs w:val="28"/>
          <w:lang w:val="en-US"/>
        </w:rPr>
        <w:t>The practical implementation of the ultimate goal of NTP is an extremely difficult task. To solve it, the correct assessment of two objective circumstances is important:</w:t>
      </w:r>
      <w:r>
        <w:rPr>
          <w:rFonts w:ascii="Times New Roman" w:hAnsi="Times New Roman" w:cs="Times New Roman"/>
          <w:color w:val="191919" w:themeColor="background1" w:themeShade="1A"/>
          <w:sz w:val="28"/>
          <w:szCs w:val="28"/>
          <w:lang w:val="en-US"/>
        </w:rPr>
        <w:br w:type="textWrapping"/>
      </w:r>
      <w:r>
        <w:rPr>
          <w:rStyle w:val="37"/>
          <w:rFonts w:ascii="Times New Roman" w:hAnsi="Times New Roman" w:cs="Times New Roman"/>
          <w:color w:val="191919" w:themeColor="background1" w:themeShade="1A"/>
          <w:sz w:val="28"/>
          <w:szCs w:val="28"/>
          <w:lang w:val="en-US"/>
        </w:rPr>
        <w:t>- connection of the implementation of the achievements of NTP with additional costs of social labor, capital investments;</w:t>
      </w:r>
    </w:p>
    <w:p>
      <w:pPr>
        <w:spacing w:after="0" w:line="240" w:lineRule="auto"/>
        <w:ind w:firstLine="567"/>
        <w:jc w:val="both"/>
        <w:rPr>
          <w:rStyle w:val="37"/>
          <w:rFonts w:ascii="Times New Roman" w:hAnsi="Times New Roman" w:cs="Times New Roman"/>
          <w:color w:val="191919" w:themeColor="background1" w:themeShade="1A"/>
          <w:sz w:val="28"/>
          <w:szCs w:val="28"/>
          <w:lang w:val="en-US"/>
        </w:rPr>
      </w:pPr>
      <w:r>
        <w:rPr>
          <w:rStyle w:val="37"/>
          <w:rFonts w:ascii="Times New Roman" w:hAnsi="Times New Roman" w:cs="Times New Roman"/>
          <w:color w:val="191919" w:themeColor="background1" w:themeShade="1A"/>
          <w:sz w:val="28"/>
          <w:szCs w:val="28"/>
          <w:lang w:val="en-US"/>
        </w:rPr>
        <w:t>- the recoupment of these additional costs by the economic effect achieved due to the enormous and diversified organizational efforts of all economic entities in the society.</w:t>
      </w:r>
    </w:p>
    <w:p>
      <w:pPr>
        <w:spacing w:after="0" w:line="240" w:lineRule="auto"/>
        <w:ind w:firstLine="567"/>
        <w:jc w:val="both"/>
        <w:rPr>
          <w:rStyle w:val="37"/>
          <w:rFonts w:ascii="Times New Roman" w:hAnsi="Times New Roman" w:cs="Times New Roman"/>
          <w:color w:val="191919" w:themeColor="background1" w:themeShade="1A"/>
          <w:sz w:val="28"/>
          <w:szCs w:val="28"/>
          <w:lang w:val="en-US"/>
        </w:rPr>
      </w:pPr>
      <w:r>
        <w:rPr>
          <w:rStyle w:val="37"/>
          <w:rFonts w:ascii="Times New Roman" w:hAnsi="Times New Roman" w:cs="Times New Roman"/>
          <w:color w:val="191919" w:themeColor="background1" w:themeShade="1A"/>
          <w:sz w:val="28"/>
          <w:szCs w:val="28"/>
          <w:lang w:val="en-US"/>
        </w:rPr>
        <w:t>Providing on average for countries 2/3 of the increase in labor productivity, the NTP also absorbs no less than this share in the total costs of this increase. Consequently, the cost-effectiveness of the NTP also determines the efficiency of production as a whole.</w:t>
      </w:r>
    </w:p>
    <w:p>
      <w:pPr>
        <w:spacing w:after="0" w:line="240" w:lineRule="auto"/>
        <w:ind w:firstLine="567"/>
        <w:jc w:val="both"/>
        <w:rPr>
          <w:rStyle w:val="37"/>
          <w:rFonts w:ascii="Times New Roman" w:hAnsi="Times New Roman" w:cs="Times New Roman"/>
          <w:color w:val="191919" w:themeColor="background1" w:themeShade="1A"/>
          <w:sz w:val="28"/>
          <w:szCs w:val="28"/>
          <w:lang w:val="en-US"/>
        </w:rPr>
      </w:pPr>
      <w:r>
        <w:rPr>
          <w:rStyle w:val="37"/>
          <w:rFonts w:ascii="Times New Roman" w:hAnsi="Times New Roman" w:cs="Times New Roman"/>
          <w:color w:val="191919" w:themeColor="background1" w:themeShade="1A"/>
          <w:sz w:val="28"/>
          <w:szCs w:val="28"/>
          <w:lang w:val="en-US"/>
        </w:rPr>
        <w:t>Realization of the ultimate goal of NTP is achieved by:</w:t>
      </w:r>
    </w:p>
    <w:p>
      <w:pPr>
        <w:spacing w:after="0" w:line="240" w:lineRule="auto"/>
        <w:ind w:firstLine="567"/>
        <w:jc w:val="both"/>
        <w:rPr>
          <w:rStyle w:val="37"/>
          <w:rFonts w:ascii="Times New Roman" w:hAnsi="Times New Roman" w:cs="Times New Roman"/>
          <w:color w:val="191919" w:themeColor="background1" w:themeShade="1A"/>
          <w:sz w:val="28"/>
          <w:szCs w:val="28"/>
          <w:lang w:val="en-US"/>
        </w:rPr>
      </w:pPr>
      <w:r>
        <w:rPr>
          <w:rStyle w:val="37"/>
          <w:rFonts w:ascii="Times New Roman" w:hAnsi="Times New Roman" w:cs="Times New Roman"/>
          <w:color w:val="191919" w:themeColor="background1" w:themeShade="1A"/>
          <w:sz w:val="28"/>
          <w:szCs w:val="28"/>
          <w:lang w:val="en-US"/>
        </w:rPr>
        <w:t>- cheaper equipment and technology in industries producing them, based on the growth of labor productivity and increased production volumes;</w:t>
      </w:r>
    </w:p>
    <w:p>
      <w:pPr>
        <w:spacing w:after="0" w:line="240" w:lineRule="auto"/>
        <w:ind w:firstLine="567"/>
        <w:jc w:val="both"/>
        <w:rPr>
          <w:rStyle w:val="37"/>
          <w:rFonts w:ascii="Times New Roman" w:hAnsi="Times New Roman" w:cs="Times New Roman"/>
          <w:color w:val="191919" w:themeColor="background1" w:themeShade="1A"/>
          <w:sz w:val="28"/>
          <w:szCs w:val="28"/>
          <w:lang w:val="en-US"/>
        </w:rPr>
      </w:pPr>
      <w:r>
        <w:rPr>
          <w:rStyle w:val="37"/>
          <w:rFonts w:ascii="Times New Roman" w:hAnsi="Times New Roman" w:cs="Times New Roman"/>
          <w:color w:val="191919" w:themeColor="background1" w:themeShade="1A"/>
          <w:sz w:val="28"/>
          <w:szCs w:val="28"/>
          <w:lang w:val="en-US"/>
        </w:rPr>
        <w:t>- release of workers in enterprises using more productive equipment;</w:t>
      </w:r>
    </w:p>
    <w:p>
      <w:pPr>
        <w:spacing w:after="0" w:line="240" w:lineRule="auto"/>
        <w:ind w:firstLine="567"/>
        <w:jc w:val="both"/>
        <w:rPr>
          <w:rStyle w:val="37"/>
          <w:rFonts w:ascii="Times New Roman" w:hAnsi="Times New Roman" w:cs="Times New Roman"/>
          <w:color w:val="191919" w:themeColor="background1" w:themeShade="1A"/>
          <w:sz w:val="28"/>
          <w:szCs w:val="28"/>
          <w:lang w:val="en-US"/>
        </w:rPr>
      </w:pPr>
      <w:r>
        <w:rPr>
          <w:rStyle w:val="37"/>
          <w:rFonts w:ascii="Times New Roman" w:hAnsi="Times New Roman" w:cs="Times New Roman"/>
          <w:color w:val="191919" w:themeColor="background1" w:themeShade="1A"/>
          <w:sz w:val="28"/>
          <w:szCs w:val="28"/>
          <w:lang w:val="en-US"/>
        </w:rPr>
        <w:t>- cheaper unit of products from the consumer of new equipment;</w:t>
      </w:r>
    </w:p>
    <w:p>
      <w:pPr>
        <w:spacing w:after="0" w:line="240" w:lineRule="auto"/>
        <w:ind w:firstLine="567"/>
        <w:jc w:val="both"/>
        <w:rPr>
          <w:rStyle w:val="37"/>
          <w:rFonts w:ascii="Times New Roman" w:hAnsi="Times New Roman" w:cs="Times New Roman"/>
          <w:color w:val="191919" w:themeColor="background1" w:themeShade="1A"/>
          <w:sz w:val="28"/>
          <w:szCs w:val="28"/>
          <w:lang w:val="en-US"/>
        </w:rPr>
      </w:pPr>
      <w:r>
        <w:rPr>
          <w:rStyle w:val="37"/>
          <w:rFonts w:ascii="Times New Roman" w:hAnsi="Times New Roman" w:cs="Times New Roman"/>
          <w:color w:val="191919" w:themeColor="background1" w:themeShade="1A"/>
          <w:sz w:val="28"/>
          <w:szCs w:val="28"/>
          <w:lang w:val="en-US"/>
        </w:rPr>
        <w:t>- ensuring consistency in the implementation of all factors determining the NTP: appropriate.</w:t>
      </w:r>
    </w:p>
    <w:p>
      <w:pPr>
        <w:spacing w:after="0" w:line="240" w:lineRule="auto"/>
        <w:ind w:firstLine="567"/>
        <w:jc w:val="both"/>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p>
    <w:p>
      <w:pPr>
        <w:spacing w:after="0" w:line="240" w:lineRule="auto"/>
        <w:ind w:firstLine="567"/>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Questions:</w:t>
      </w:r>
    </w:p>
    <w:p>
      <w:pPr>
        <w:pStyle w:val="19"/>
        <w:jc w:val="both"/>
        <w:rPr>
          <w:color w:val="191919" w:themeColor="background1" w:themeShade="1A"/>
          <w:sz w:val="28"/>
          <w:szCs w:val="28"/>
          <w:lang w:val="en-US"/>
        </w:rPr>
      </w:pPr>
      <w:r>
        <w:rPr>
          <w:bCs/>
          <w:color w:val="191919" w:themeColor="background1" w:themeShade="1A"/>
          <w:sz w:val="28"/>
          <w:szCs w:val="28"/>
          <w:lang w:val="en-US"/>
        </w:rPr>
        <w:t xml:space="preserve">Please describe the technological progress in the global economy?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tell about the knowledge as a factor of production?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tell about the knowledge spillovers?   </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Can you tell about the intellectual property?</w:t>
      </w:r>
    </w:p>
    <w:p>
      <w:pPr>
        <w:spacing w:after="0" w:line="240" w:lineRule="auto"/>
        <w:jc w:val="both"/>
        <w:rPr>
          <w:rFonts w:ascii="Times New Roman" w:hAnsi="Times New Roman" w:cs="Times New Roman"/>
          <w:color w:val="191919" w:themeColor="background1" w:themeShade="1A"/>
          <w:sz w:val="28"/>
          <w:szCs w:val="28"/>
          <w:lang w:val="en-US"/>
        </w:rPr>
      </w:pPr>
    </w:p>
    <w:p>
      <w:pPr>
        <w:spacing w:before="240" w:after="0"/>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References:</w:t>
      </w:r>
    </w:p>
    <w:p>
      <w:pPr>
        <w:pStyle w:val="18"/>
        <w:numPr>
          <w:ilvl w:val="0"/>
          <w:numId w:val="47"/>
        </w:numPr>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Eaton and S. Kortum, “International Technology Diffusion,” International Economic Review forthcoming (originally published as “International Patenting and Technology Diffusion,” NBER Working Paper No.</w:t>
      </w:r>
      <w:r>
        <w:fldChar w:fldCharType="begin"/>
      </w:r>
      <w:r>
        <w:instrText xml:space="preserve"> HYPERLINK "https://www.nber.org/papers/w4931" </w:instrText>
      </w:r>
      <w:r>
        <w:fldChar w:fldCharType="separate"/>
      </w:r>
      <w:r>
        <w:rPr>
          <w:rFonts w:ascii="Times New Roman" w:hAnsi="Times New Roman" w:eastAsia="Times New Roman" w:cs="Times New Roman"/>
          <w:color w:val="191919" w:themeColor="background1" w:themeShade="1A"/>
          <w:sz w:val="28"/>
          <w:szCs w:val="28"/>
          <w:lang w:val="en-US" w:eastAsia="ru-RU"/>
        </w:rPr>
        <w:t>4931</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November 2016);</w:t>
      </w:r>
    </w:p>
    <w:p>
      <w:pPr>
        <w:pStyle w:val="18"/>
        <w:numPr>
          <w:ilvl w:val="0"/>
          <w:numId w:val="47"/>
        </w:numPr>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 xml:space="preserve"> J. Eaton and S. Kortum, “Trade in Ideas: Patenting and Productivity in the OECD,” Journal of International Economics, 40 (May 2015), pp. 251-78; </w:t>
      </w:r>
    </w:p>
    <w:p>
      <w:pPr>
        <w:pStyle w:val="18"/>
        <w:numPr>
          <w:ilvl w:val="0"/>
          <w:numId w:val="47"/>
        </w:numPr>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J. Eaton and S. Kortum, “Engines of Growth in the World Economy,” Japan and the World Economy, (2017), pp. 235-59.</w:t>
      </w:r>
    </w:p>
    <w:p>
      <w:pPr>
        <w:pStyle w:val="18"/>
        <w:numPr>
          <w:ilvl w:val="0"/>
          <w:numId w:val="47"/>
        </w:numPr>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J. Eaton, E. Gutierrez, and S. Kortum, “European Technology Policy,” Economic Policy, 27 (October 2016), pp. 405-38.</w:t>
      </w:r>
    </w:p>
    <w:p>
      <w:pPr>
        <w:pStyle w:val="18"/>
        <w:numPr>
          <w:ilvl w:val="0"/>
          <w:numId w:val="47"/>
        </w:numPr>
        <w:tabs>
          <w:tab w:val="left" w:pos="426"/>
        </w:tabs>
        <w:spacing w:after="0" w:line="240" w:lineRule="auto"/>
        <w:ind w:left="0" w:firstLine="0"/>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eastAsia="Times New Roman" w:cs="Times New Roman"/>
          <w:color w:val="191919" w:themeColor="background1" w:themeShade="1A"/>
          <w:sz w:val="28"/>
          <w:szCs w:val="28"/>
          <w:lang w:val="en-US" w:eastAsia="ru-RU"/>
        </w:rPr>
        <w:t xml:space="preserve">J. Eaton and S. Kortum, “Technology, Geography, and Trade” (originally published as “Technology and Bilateral Trade,” NBER Working Paper No. </w:t>
      </w:r>
      <w:r>
        <w:fldChar w:fldCharType="begin"/>
      </w:r>
      <w:r>
        <w:instrText xml:space="preserve"> HYPERLINK "https://www.nber.org/papers/w6253" </w:instrText>
      </w:r>
      <w:r>
        <w:fldChar w:fldCharType="separate"/>
      </w:r>
      <w:r>
        <w:rPr>
          <w:rFonts w:ascii="Times New Roman" w:hAnsi="Times New Roman" w:eastAsia="Times New Roman" w:cs="Times New Roman"/>
          <w:color w:val="191919" w:themeColor="background1" w:themeShade="1A"/>
          <w:sz w:val="28"/>
          <w:szCs w:val="28"/>
          <w:lang w:val="en-US" w:eastAsia="ru-RU"/>
        </w:rPr>
        <w:t>6253</w:t>
      </w:r>
      <w:r>
        <w:rPr>
          <w:rFonts w:ascii="Times New Roman" w:hAnsi="Times New Roman" w:eastAsia="Times New Roman" w:cs="Times New Roman"/>
          <w:color w:val="191919" w:themeColor="background1" w:themeShade="1A"/>
          <w:sz w:val="28"/>
          <w:szCs w:val="28"/>
          <w:lang w:val="en-US" w:eastAsia="ru-RU"/>
        </w:rPr>
        <w:fldChar w:fldCharType="end"/>
      </w:r>
      <w:r>
        <w:rPr>
          <w:rFonts w:ascii="Times New Roman" w:hAnsi="Times New Roman" w:eastAsia="Times New Roman" w:cs="Times New Roman"/>
          <w:color w:val="191919" w:themeColor="background1" w:themeShade="1A"/>
          <w:sz w:val="28"/>
          <w:szCs w:val="28"/>
          <w:lang w:val="en-US" w:eastAsia="ru-RU"/>
        </w:rPr>
        <w:t>, November 2016).</w:t>
      </w:r>
    </w:p>
    <w:p>
      <w:pPr>
        <w:spacing w:before="240" w:after="0"/>
        <w:jc w:val="both"/>
        <w:rPr>
          <w:rFonts w:ascii="Times New Roman" w:hAnsi="Times New Roman" w:cs="Times New Roman"/>
          <w:color w:val="191919" w:themeColor="background1" w:themeShade="1A"/>
          <w:sz w:val="28"/>
          <w:szCs w:val="28"/>
          <w:lang w:val="en-US"/>
        </w:rPr>
      </w:pPr>
    </w:p>
    <w:p>
      <w:pPr>
        <w:pStyle w:val="19"/>
        <w:jc w:val="both"/>
        <w:rPr>
          <w:color w:val="191919" w:themeColor="background1" w:themeShade="1A"/>
          <w:sz w:val="28"/>
          <w:szCs w:val="28"/>
          <w:lang w:val="en-US"/>
        </w:rPr>
      </w:pPr>
      <w:r>
        <w:rPr>
          <w:b/>
          <w:color w:val="191919" w:themeColor="background1" w:themeShade="1A"/>
          <w:sz w:val="28"/>
          <w:szCs w:val="28"/>
          <w:lang w:val="en-US"/>
        </w:rPr>
        <w:t xml:space="preserve">Subject 14. </w:t>
      </w:r>
      <w:r>
        <w:rPr>
          <w:b/>
          <w:bCs/>
          <w:color w:val="191919" w:themeColor="background1" w:themeShade="1A"/>
          <w:sz w:val="28"/>
          <w:szCs w:val="28"/>
          <w:lang w:val="en-US"/>
        </w:rPr>
        <w:t xml:space="preserve">Global economic governance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1.Main theoretical concepts of global governance.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2.The role of formal and informal international organizations.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3.Main findings on up-to-date trends. </w:t>
      </w:r>
    </w:p>
    <w:p>
      <w:pPr>
        <w:spacing w:after="0" w:line="240" w:lineRule="auto"/>
        <w:jc w:val="both"/>
        <w:outlineLvl w:val="0"/>
        <w:rPr>
          <w:rFonts w:ascii="Times New Roman" w:hAnsi="Times New Roman" w:eastAsia="Times New Roman"/>
          <w:b/>
          <w:bCs/>
          <w:color w:val="191919" w:themeColor="background1" w:themeShade="1A"/>
          <w:kern w:val="36"/>
          <w:sz w:val="28"/>
          <w:szCs w:val="28"/>
          <w:shd w:val="clear" w:color="auto" w:fill="FFFFFF"/>
          <w:lang w:val="en-US" w:eastAsia="ru-RU"/>
        </w:rPr>
      </w:pPr>
    </w:p>
    <w:p>
      <w:pPr>
        <w:shd w:val="clear" w:color="auto" w:fill="FFFFFF"/>
        <w:spacing w:after="0" w:line="240" w:lineRule="auto"/>
        <w:jc w:val="both"/>
        <w:outlineLvl w:val="0"/>
        <w:rPr>
          <w:rFonts w:ascii="Times New Roman" w:hAnsi="Times New Roman" w:eastAsia="Times New Roman" w:cs="Times New Roman"/>
          <w:b/>
          <w:bCs/>
          <w:color w:val="191919" w:themeColor="background1" w:themeShade="1A"/>
          <w:kern w:val="36"/>
          <w:sz w:val="28"/>
          <w:szCs w:val="28"/>
          <w:lang w:val="en-US" w:eastAsia="ru-RU"/>
        </w:rPr>
      </w:pPr>
      <w:r>
        <w:rPr>
          <w:rFonts w:ascii="Times New Roman" w:hAnsi="Times New Roman" w:eastAsia="Times New Roman"/>
          <w:b/>
          <w:bCs/>
          <w:color w:val="191919" w:themeColor="background1" w:themeShade="1A"/>
          <w:kern w:val="36"/>
          <w:sz w:val="28"/>
          <w:szCs w:val="28"/>
          <w:lang w:val="en-US" w:eastAsia="ru-RU"/>
        </w:rPr>
        <w:t>1.</w:t>
      </w:r>
      <w:r>
        <w:rPr>
          <w:rFonts w:ascii="Times New Roman" w:hAnsi="Times New Roman" w:cs="Times New Roman"/>
          <w:b/>
          <w:color w:val="191919" w:themeColor="background1" w:themeShade="1A"/>
          <w:sz w:val="28"/>
          <w:szCs w:val="28"/>
          <w:lang w:val="en-US"/>
        </w:rPr>
        <w:t xml:space="preserve">Main theoretical concepts of global governance. </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In the aftermath of World War II, a number of powerful institutions were created which have influenced the course and nature of global economic policy over the past sixty or so years. The so-called Bretton Woods institutions - the World Bank and the International Monetary Fund (IMF) - and the General Agreement on Tariffs and Trade (GATT) (which eventually became the World Trade Organization (WTO)) have become central parts of an international order that purports to be multilateral in form and global in scope.</w:t>
      </w:r>
      <w:r>
        <w:fldChar w:fldCharType="begin"/>
      </w:r>
      <w:r>
        <w:instrText xml:space="preserve"> HYPERLINK "http://www.oxfordscholarship.com/view/10.1093/acprof:oso/9780199641987.001.0001/acprof-9780199641987-chapter-2" \l "acprof-9780199641987-note-1" </w:instrText>
      </w:r>
      <w:r>
        <w:fldChar w:fldCharType="separate"/>
      </w:r>
      <w:r>
        <w:fldChar w:fldCharType="end"/>
      </w:r>
      <w:r>
        <w:rPr>
          <w:color w:val="191919" w:themeColor="background1" w:themeShade="1A"/>
          <w:lang w:val="en-US"/>
        </w:rPr>
        <w:t xml:space="preserve"> </w:t>
      </w:r>
      <w:r>
        <w:rPr>
          <w:rFonts w:ascii="Times New Roman" w:hAnsi="Times New Roman" w:eastAsia="Times New Roman"/>
          <w:color w:val="191919" w:themeColor="background1" w:themeShade="1A"/>
          <w:sz w:val="28"/>
          <w:szCs w:val="28"/>
          <w:lang w:val="en-US" w:eastAsia="ru-RU"/>
        </w:rPr>
        <w:t>Indeed, it is difficult to imagine quite what “globalization” might look like without the existence of international organizations generally or of the international economic (financial and trade) institutions (IFTIs or IFIs) in particular. And yet recent events, especially the Global Financial Crisis (GFC) and its aftermath, have caused some observers to question whether the international economic institutions are any longer suitable for the challenges they face in the contemporary age: if they are unable to prevent (increasingly recurring) crises or facilitate a more general process of long-term economic collective action problem solving, what are they for? This kind of analysis misses the point. For all their apparent failings the need for such institutions is unlikely to disappear in an era characterized by higher levels of economic interdependence. Global economic governance may still be imperfect and, in contrast to the global economy, underdeveloped. But if global governance is to evolve, </w:t>
      </w:r>
      <w:r>
        <w:rPr>
          <w:rFonts w:ascii="Times New Roman" w:hAnsi="Times New Roman" w:eastAsia="Times New Roman"/>
          <w:b/>
          <w:bCs/>
          <w:color w:val="191919" w:themeColor="background1" w:themeShade="1A"/>
          <w:sz w:val="28"/>
          <w:szCs w:val="28"/>
          <w:lang w:val="en-US" w:eastAsia="ru-RU"/>
        </w:rPr>
        <w:t> </w:t>
      </w:r>
      <w:r>
        <w:rPr>
          <w:rFonts w:ascii="Times New Roman" w:hAnsi="Times New Roman" w:eastAsia="Times New Roman"/>
          <w:color w:val="191919" w:themeColor="background1" w:themeShade="1A"/>
          <w:sz w:val="28"/>
          <w:szCs w:val="28"/>
          <w:lang w:val="en-US" w:eastAsia="ru-RU"/>
        </w:rPr>
        <w:t>multilateral economic institutions of one kind or another must be at least one of the key elements of the process.</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In order to develop this argument, this chapter firstly provides some initial clarification of terms and concepts. Secondly, it outlines the role of the original Bretton Woods institutions and the GATT and explains how their missions have changed overtime. Thirdly, it describes some newer multilateral activity such as the evolution of the G20 (note the word “activity” not institution) and suggests why issues of authority and accountability have become increasingly important but contested as—often unelected—policymakers (public and private) and economic actors accrue greater decision-making authority through the evolution of transnational, if often state-sponsored, policy networks. Finally, the chapter assesses the ability of multilateral institutions to participate in the management of the complexity and uncertainty that seems an endemic part of the current world order.</w:t>
      </w:r>
    </w:p>
    <w:p>
      <w:pPr>
        <w:shd w:val="clear" w:color="auto" w:fill="FFFFFF"/>
        <w:spacing w:after="0" w:line="240" w:lineRule="auto"/>
        <w:jc w:val="both"/>
        <w:outlineLvl w:val="0"/>
        <w:rPr>
          <w:rFonts w:ascii="Times New Roman" w:hAnsi="Times New Roman" w:eastAsia="Times New Roman"/>
          <w:b/>
          <w:bCs/>
          <w:color w:val="191919" w:themeColor="background1" w:themeShade="1A"/>
          <w:kern w:val="36"/>
          <w:sz w:val="28"/>
          <w:szCs w:val="28"/>
          <w:lang w:val="en-US" w:eastAsia="ru-RU"/>
        </w:rPr>
      </w:pPr>
      <w:r>
        <w:rPr>
          <w:rFonts w:ascii="Times New Roman" w:hAnsi="Times New Roman" w:eastAsia="Times New Roman"/>
          <w:b/>
          <w:bCs/>
          <w:color w:val="191919" w:themeColor="background1" w:themeShade="1A"/>
          <w:kern w:val="36"/>
          <w:sz w:val="28"/>
          <w:szCs w:val="28"/>
          <w:lang w:val="en-US" w:eastAsia="ru-RU"/>
        </w:rPr>
        <w:t>Globalization, Global Governance, and the State of Multilateralism</w:t>
      </w:r>
    </w:p>
    <w:p>
      <w:pPr>
        <w:shd w:val="clear" w:color="auto" w:fill="FFFFFF"/>
        <w:spacing w:after="0" w:line="240" w:lineRule="auto"/>
        <w:jc w:val="both"/>
        <w:outlineLvl w:val="1"/>
        <w:rPr>
          <w:rFonts w:ascii="Times New Roman" w:hAnsi="Times New Roman" w:eastAsia="Times New Roman"/>
          <w:b/>
          <w:bCs/>
          <w:color w:val="191919" w:themeColor="background1" w:themeShade="1A"/>
          <w:sz w:val="28"/>
          <w:szCs w:val="28"/>
          <w:lang w:val="en-US" w:eastAsia="ru-RU"/>
        </w:rPr>
      </w:pPr>
      <w:r>
        <w:rPr>
          <w:rFonts w:ascii="Times New Roman" w:hAnsi="Times New Roman" w:eastAsia="Times New Roman"/>
          <w:b/>
          <w:bCs/>
          <w:color w:val="191919" w:themeColor="background1" w:themeShade="1A"/>
          <w:sz w:val="28"/>
          <w:szCs w:val="28"/>
          <w:lang w:val="en-US" w:eastAsia="ru-RU"/>
        </w:rPr>
        <w:t>The Demand for Global Economic Governance</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Let me start by saying something about what I think the literature tells us about the global governance as an analytical concept. For some it is a conceptual oxymoron, a contradiction in terms or at best the fantasy of scholars. Realists, or more precisely neorealists if we are thinking of scholars like Ken Waltz (1979), accepted no understanding of governance beyond the level of the state; the principal characteristic of the international system has been, and remains, “anarchy.” Liberal interdependence scholars of both the North American variety (pace Keohane and Nye, </w:t>
      </w:r>
      <w:r>
        <w:fldChar w:fldCharType="begin"/>
      </w:r>
      <w:r>
        <w:instrText xml:space="preserve"> HYPERLINK "http://www.oxfordscholarship.com/view/10.1093/acprof:oso/9780199641987.001.0001/acprof-9780199641987-chapter-2" \l "acprof-9780199641987-bibItem-67" </w:instrText>
      </w:r>
      <w:r>
        <w:fldChar w:fldCharType="separate"/>
      </w:r>
      <w:r>
        <w:rPr>
          <w:rFonts w:ascii="Times New Roman" w:hAnsi="Times New Roman" w:eastAsia="Times New Roman"/>
          <w:color w:val="191919" w:themeColor="background1" w:themeShade="1A"/>
          <w:sz w:val="28"/>
          <w:szCs w:val="28"/>
          <w:lang w:val="en-US" w:eastAsia="ru-RU"/>
        </w:rPr>
        <w:t>1977</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and the Anglo-Australian variety of Bull and the pretentiously entitled “English School” argue that we can do better (Bull, 1977). We may, they argue, live in an anarchical society, but one with recognized norms and rules of behavior. Current-day cosmopolitan democratic theorists, </w:t>
      </w:r>
      <w:r>
        <w:rPr>
          <w:rFonts w:ascii="Times New Roman" w:hAnsi="Times New Roman" w:eastAsia="Times New Roman"/>
          <w:i/>
          <w:iCs/>
          <w:color w:val="191919" w:themeColor="background1" w:themeShade="1A"/>
          <w:sz w:val="28"/>
          <w:szCs w:val="28"/>
          <w:lang w:val="en-US" w:eastAsia="ru-RU"/>
        </w:rPr>
        <w:t>pace</w:t>
      </w:r>
      <w:r>
        <w:rPr>
          <w:rFonts w:ascii="Times New Roman" w:hAnsi="Times New Roman" w:eastAsia="Times New Roman"/>
          <w:color w:val="191919" w:themeColor="background1" w:themeShade="1A"/>
          <w:sz w:val="28"/>
          <w:szCs w:val="28"/>
          <w:lang w:val="en-US" w:eastAsia="ru-RU"/>
        </w:rPr>
        <w:t> David Held, more optimistically, argue that the seeds of a global society are emerging. I accept that such crude distinctions can hide more than they reveal. All understandings are prefigured from wider competing political, epistemological, and ontological assumptions about international theory, not just global governance. But what they exhibit is an understanding of global governance as an increasingly salient, albeit contested, political concept.</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Moreover, the debate is now no longer just the play thing of scholars, especially since the global financial crises of the last few years. The whole debate over the governance or, as more frequently described, “regulation” of the global economy of the last few years is really rather a recognition that the </w:t>
      </w:r>
      <w:r>
        <w:rPr>
          <w:rFonts w:ascii="Times New Roman" w:hAnsi="Times New Roman" w:eastAsia="Times New Roman"/>
          <w:b/>
          <w:bCs/>
          <w:color w:val="191919" w:themeColor="background1" w:themeShade="1A"/>
          <w:sz w:val="28"/>
          <w:szCs w:val="28"/>
          <w:lang w:val="en-US" w:eastAsia="ru-RU"/>
        </w:rPr>
        <w:t> </w:t>
      </w:r>
      <w:r>
        <w:rPr>
          <w:rFonts w:ascii="Times New Roman" w:hAnsi="Times New Roman" w:eastAsia="Times New Roman"/>
          <w:color w:val="191919" w:themeColor="background1" w:themeShade="1A"/>
          <w:sz w:val="28"/>
          <w:szCs w:val="28"/>
          <w:lang w:val="en-US" w:eastAsia="ru-RU"/>
        </w:rPr>
        <w:t>overdevelopment of the global economy has been accompanied by the underdevelopment of the global polity. The integration of the global economy through the liberalization of the trade regime, the deregulation of financial markets, and the privatization of state assets have led to what we now commonly call “globalization.” But this has not been accompanied by a comparable development of the global polity and it is increasingly recognized in policy circles that without the development of appropriate norms, institutions, and processes to manage globalization, it could be undone by a failure to mitigate its excesses and negative consequences (especially for large sections of the world’s poor) that emanate from it.</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This is no longer the position of just the “alter” or antiglobalization movement but also the credentialed defenders of globalization in the economics profession from the likes of Jagdish Bhagwati (2004), Jo Stiglitz (</w:t>
      </w:r>
      <w:r>
        <w:fldChar w:fldCharType="begin"/>
      </w:r>
      <w:r>
        <w:instrText xml:space="preserve"> HYPERLINK "http://www.oxfordscholarship.com/view/10.1093/acprof:oso/9780199641987.001.0001/acprof-9780199641987-chapter-2" \l "acprof-9780199641987-bibItem-86" </w:instrText>
      </w:r>
      <w:r>
        <w:fldChar w:fldCharType="separate"/>
      </w:r>
      <w:r>
        <w:rPr>
          <w:rFonts w:ascii="Times New Roman" w:hAnsi="Times New Roman" w:eastAsia="Times New Roman"/>
          <w:color w:val="191919" w:themeColor="background1" w:themeShade="1A"/>
          <w:sz w:val="28"/>
          <w:szCs w:val="28"/>
          <w:lang w:val="en-US" w:eastAsia="ru-RU"/>
        </w:rPr>
        <w:t>2002</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and Paul Krugman through to powerful pundits such as Martin Wolf of the </w:t>
      </w:r>
      <w:r>
        <w:rPr>
          <w:rFonts w:ascii="Times New Roman" w:hAnsi="Times New Roman" w:eastAsia="Times New Roman"/>
          <w:i/>
          <w:iCs/>
          <w:color w:val="191919" w:themeColor="background1" w:themeShade="1A"/>
          <w:sz w:val="28"/>
          <w:szCs w:val="28"/>
          <w:lang w:val="en-US" w:eastAsia="ru-RU"/>
        </w:rPr>
        <w:t>Financial Times</w:t>
      </w:r>
      <w:r>
        <w:rPr>
          <w:rFonts w:ascii="Times New Roman" w:hAnsi="Times New Roman" w:eastAsia="Times New Roman"/>
          <w:color w:val="191919" w:themeColor="background1" w:themeShade="1A"/>
          <w:sz w:val="28"/>
          <w:szCs w:val="28"/>
          <w:lang w:val="en-US" w:eastAsia="ru-RU"/>
        </w:rPr>
        <w:t> and former Head of the FSA Adair Turner. Writing even before the GFC of 2008, Wolf identified the growing impact of “…[t]he dilemma of global governance” (January 14, 2007: 7). Salient prior to the GFC, a need to understand the dynamics of how we govern the global economy casts even longer policy shadows now. The GFC has merely reinforced these views. All recognize that without proper processes of regulation, globalization has within it the seeds of its own downfall.</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This is now, somewhat belatedly we might add, a well-understood conundrum for advocates of globalization. The case has never been clearer since the end of the Cold War that some degree of institutional control is a necessary prerequisite for rational global economic management. Doubts about our abilities to provide an appropriate multilateral regulatory framework for the management of the economy at the global level abound in the wake of the great recession of 2007–9. It is not clear, however, whether the crisis at the end of the first decade of the twenty-first century will lead to major changes in the existent system of regulation. Does it represent a crisis of multilateralism or, through the evolution of the G20 process, the evolution of a new stage of multilateralism? Precisely the same arguments were heard after the Asian crisis when there were widespread calls for institutional reform and tighter control of the activities of banks and financial markets (Kenen, </w:t>
      </w:r>
      <w:r>
        <w:fldChar w:fldCharType="begin"/>
      </w:r>
      <w:r>
        <w:instrText xml:space="preserve"> HYPERLINK "http://www.oxfordscholarship.com/view/10.1093/acprof:oso/9780199641987.001.0001/acprof-9780199641987-chapter-2" \l "acprof-9780199641987-bibItem-63" </w:instrText>
      </w:r>
      <w:r>
        <w:fldChar w:fldCharType="separate"/>
      </w:r>
      <w:r>
        <w:rPr>
          <w:rFonts w:ascii="Times New Roman" w:hAnsi="Times New Roman" w:eastAsia="Times New Roman"/>
          <w:color w:val="191919" w:themeColor="background1" w:themeShade="1A"/>
          <w:sz w:val="28"/>
          <w:szCs w:val="28"/>
          <w:lang w:val="en-US" w:eastAsia="ru-RU"/>
        </w:rPr>
        <w:t>2001</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Armijo, </w:t>
      </w:r>
      <w:r>
        <w:fldChar w:fldCharType="begin"/>
      </w:r>
      <w:r>
        <w:instrText xml:space="preserve"> HYPERLINK "http://www.oxfordscholarship.com/view/10.1093/acprof:oso/9780199641987.001.0001/acprof-9780199641987-chapter-2" \l "acprof-9780199641987-bibItem-16" </w:instrText>
      </w:r>
      <w:r>
        <w:fldChar w:fldCharType="separate"/>
      </w:r>
      <w:r>
        <w:rPr>
          <w:rFonts w:ascii="Times New Roman" w:hAnsi="Times New Roman" w:eastAsia="Times New Roman"/>
          <w:color w:val="191919" w:themeColor="background1" w:themeShade="1A"/>
          <w:sz w:val="28"/>
          <w:szCs w:val="28"/>
          <w:lang w:val="en-US" w:eastAsia="ru-RU"/>
        </w:rPr>
        <w:t>2002</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In reality, little of substance changed between the two crises. Indeed, many of the restrictions that had formerly been put in place to control the activities of banks at a national level were repealed, as policymakers in the Anglo-American economies became locked in a competition to provide “light touch,” business-friendly regulation (Glass Steagall, let us not forget, was only repealed in 1999).</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This trend probably represented the high-water mark for the ascendancy of the market in the dialectical interaction, broadly conceived, between states </w:t>
      </w:r>
      <w:r>
        <w:rPr>
          <w:rFonts w:ascii="Times New Roman" w:hAnsi="Times New Roman" w:eastAsia="Times New Roman"/>
          <w:b/>
          <w:bCs/>
          <w:color w:val="191919" w:themeColor="background1" w:themeShade="1A"/>
          <w:sz w:val="28"/>
          <w:szCs w:val="28"/>
          <w:lang w:val="en-US" w:eastAsia="ru-RU"/>
        </w:rPr>
        <w:t> </w:t>
      </w:r>
      <w:r>
        <w:rPr>
          <w:rFonts w:ascii="Times New Roman" w:hAnsi="Times New Roman" w:eastAsia="Times New Roman"/>
          <w:color w:val="191919" w:themeColor="background1" w:themeShade="1A"/>
          <w:sz w:val="28"/>
          <w:szCs w:val="28"/>
          <w:lang w:val="en-US" w:eastAsia="ru-RU"/>
        </w:rPr>
        <w:t>and markets in the evolution of the international economy, and the institutions that have sought to manage it, for the last sixty years. Since the GFC of 2008, the institutions which manage the global economy have sought, fitfully at least, to show greater coherence and sense of purpose and develop a greater sense of legitimacy in the eyes of both ordinary people and national governments.</w:t>
      </w:r>
    </w:p>
    <w:p>
      <w:pPr>
        <w:shd w:val="clear" w:color="auto" w:fill="FFFFFF"/>
        <w:spacing w:after="0" w:line="240" w:lineRule="auto"/>
        <w:jc w:val="both"/>
        <w:outlineLvl w:val="0"/>
        <w:rPr>
          <w:rFonts w:ascii="Times New Roman" w:hAnsi="Times New Roman" w:eastAsia="Times New Roman"/>
          <w:b/>
          <w:bCs/>
          <w:color w:val="191919" w:themeColor="background1" w:themeShade="1A"/>
          <w:kern w:val="36"/>
          <w:sz w:val="28"/>
          <w:szCs w:val="28"/>
          <w:lang w:val="en-US" w:eastAsia="ru-RU"/>
        </w:rPr>
      </w:pPr>
      <w:r>
        <w:rPr>
          <w:rFonts w:ascii="Times New Roman" w:hAnsi="Times New Roman" w:eastAsia="Times New Roman"/>
          <w:b/>
          <w:bCs/>
          <w:color w:val="191919" w:themeColor="background1" w:themeShade="1A"/>
          <w:kern w:val="36"/>
          <w:sz w:val="28"/>
          <w:szCs w:val="28"/>
          <w:lang w:val="en-US" w:eastAsia="ru-RU"/>
        </w:rPr>
        <w:t>Continuity and Change in Multilateral Economic Governance</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We must ask what we might understand by the idea of global governance in an era of increasingly “contested globalization.” Most global governance for much of the second half of the twentieth century, especially in the economic domain on which I focus, is still predominantly seen as effective and efficient collective action problem solving undertaken by or within international organizations. Proponents claimed that “effective” and “efficient” governance was not a normative but an empirical matter and international organizations, with states acting as the agents, were the principal vehicles within which it occurred when necessary. This view is increasingly deficient on two grounds I would argue.</w:t>
      </w:r>
    </w:p>
    <w:p>
      <w:pPr>
        <w:shd w:val="clear" w:color="auto" w:fill="FFFFFF"/>
        <w:tabs>
          <w:tab w:val="left" w:pos="9355"/>
        </w:tabs>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1. First, it presents an excessively one-dimensional view of global governance institutions. Most scholars and practitioners today increasingly recognize that the privileging of effective and efficient decision-making has important normative implications and consequences, and the international economic institutions must address questions of accountability and democratic legitimacy as much as effectiveness and efficiency and certainly much more than they have done in the past. This disconnect has led to the debate about “legitimacy deficits” in major international organizations.</w:t>
      </w:r>
    </w:p>
    <w:p>
      <w:pPr>
        <w:shd w:val="clear" w:color="auto" w:fill="FFFFFF"/>
        <w:tabs>
          <w:tab w:val="left" w:pos="9355"/>
        </w:tabs>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2. Second, it overestimates the role of international organizations in global public policymaking at the expense of both emerging state actors and non-state actors operating in other ways and in other regulatory contexts that, in their </w:t>
      </w:r>
      <w:r>
        <w:rPr>
          <w:rFonts w:ascii="Times New Roman" w:hAnsi="Times New Roman" w:eastAsia="Times New Roman"/>
          <w:i/>
          <w:iCs/>
          <w:color w:val="191919" w:themeColor="background1" w:themeShade="1A"/>
          <w:sz w:val="28"/>
          <w:szCs w:val="28"/>
          <w:lang w:val="en-US" w:eastAsia="ru-RU"/>
        </w:rPr>
        <w:t>modus operandi</w:t>
      </w:r>
      <w:r>
        <w:rPr>
          <w:rFonts w:ascii="Times New Roman" w:hAnsi="Times New Roman" w:eastAsia="Times New Roman"/>
          <w:color w:val="191919" w:themeColor="background1" w:themeShade="1A"/>
          <w:sz w:val="28"/>
          <w:szCs w:val="28"/>
          <w:lang w:val="en-US" w:eastAsia="ru-RU"/>
        </w:rPr>
        <w:t>, depart from a traditional understanding of international economic diplomacy. It is an empirically outdated view of how the world works—or more importantly does not work - when it comes to collective action problem solving in the economic domain.</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Vertically, state power is increasingly constrained by the presence of numerous non-state or extra-state actors - MNCs, banks, markets, civil (and uncivil) society, the media, international organizations regions, and regulatory networks. Horizontally, power, without overstating the case, is undergoing a process of diffusion from the west and the north to the south and the east. New (and new - old) great powers compete with the United States and Europe. The reemergence of Russia and the rise of China and India especially are dramatically changing our understandings of global power. This is not to assume, however, that the flattening out of global relationships, especially between China and the United States, axiomatically leads to a new era of bipolarity in global politics, captured in discussions of the emergence of a G2. G2 activities are only ever likely to be </w:t>
      </w:r>
      <w:r>
        <w:rPr>
          <w:rFonts w:ascii="Times New Roman" w:hAnsi="Times New Roman" w:eastAsia="Times New Roman"/>
          <w:i/>
          <w:iCs/>
          <w:color w:val="191919" w:themeColor="background1" w:themeShade="1A"/>
          <w:sz w:val="28"/>
          <w:szCs w:val="28"/>
          <w:lang w:val="en-US" w:eastAsia="ru-RU"/>
        </w:rPr>
        <w:t>de facto</w:t>
      </w:r>
      <w:r>
        <w:rPr>
          <w:rFonts w:ascii="Times New Roman" w:hAnsi="Times New Roman" w:eastAsia="Times New Roman"/>
          <w:color w:val="191919" w:themeColor="background1" w:themeShade="1A"/>
          <w:sz w:val="28"/>
          <w:szCs w:val="28"/>
          <w:lang w:val="en-US" w:eastAsia="ru-RU"/>
        </w:rPr>
        <w:t> arrangements within wider contexts in which both the United States and China opt for them to be embedded in a wider grouping, such as the G20, as the G20 moves, if indeed that is to be its trajectory, from being concerned with crisis exit strategies to more substantive questions of structural and institutional reform in, and of, the global economy (Garrett, 2010).</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In many respects, the balance of power today in the major global institutions still largely represents the (modified) balance of power from 1944 to 1945. The permanent (veto holding) members of the UN Security Council are still the five “victors” of World War II (even if China that holds the seat today is not the same pro-Western China that the West assumed would rule after 1945, and Russia has slipped into the seat created for the Soviet Union). The IMF and the World Bank, despite some changes in their mission and some realignment of the voting patterns of the IMF, still carry the imprint of Harry Dexter White and reflect the power secured by the United States in return for underwriting post-World War II economic recovery in Europe and underpinning the financial security of postwar international order (Ikenberry, </w:t>
      </w:r>
      <w:r>
        <w:fldChar w:fldCharType="begin"/>
      </w:r>
      <w:r>
        <w:instrText xml:space="preserve"> HYPERLINK "http://www.oxfordscholarship.com/view/10.1093/acprof:oso/9780199641987.001.0001/acprof-9780199641987-chapter-2" \l "acprof-9780199641987-bibItem-61" </w:instrText>
      </w:r>
      <w:r>
        <w:fldChar w:fldCharType="separate"/>
      </w:r>
      <w:r>
        <w:rPr>
          <w:rFonts w:ascii="Times New Roman" w:hAnsi="Times New Roman" w:eastAsia="Times New Roman"/>
          <w:color w:val="191919" w:themeColor="background1" w:themeShade="1A"/>
          <w:sz w:val="28"/>
          <w:szCs w:val="28"/>
          <w:lang w:val="en-US" w:eastAsia="ru-RU"/>
        </w:rPr>
        <w:t>2001</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Of course, global economic decision-making has undergone change since the end of the Cold War. This is happening at both a specific institutional level and in a broader systemic sense.</w:t>
      </w:r>
    </w:p>
    <w:p>
      <w:pPr>
        <w:shd w:val="clear" w:color="auto" w:fill="FFFFFF"/>
        <w:spacing w:after="0" w:line="240" w:lineRule="auto"/>
        <w:jc w:val="both"/>
        <w:outlineLvl w:val="1"/>
        <w:rPr>
          <w:rFonts w:ascii="Times New Roman" w:hAnsi="Times New Roman" w:eastAsia="Times New Roman"/>
          <w:b/>
          <w:bCs/>
          <w:color w:val="191919" w:themeColor="background1" w:themeShade="1A"/>
          <w:sz w:val="28"/>
          <w:szCs w:val="28"/>
          <w:lang w:val="en-US" w:eastAsia="ru-RU"/>
        </w:rPr>
      </w:pPr>
      <w:r>
        <w:rPr>
          <w:rFonts w:ascii="Times New Roman" w:hAnsi="Times New Roman" w:eastAsia="Times New Roman"/>
          <w:b/>
          <w:bCs/>
          <w:color w:val="191919" w:themeColor="background1" w:themeShade="1A"/>
          <w:sz w:val="28"/>
          <w:szCs w:val="28"/>
          <w:lang w:val="en-US" w:eastAsia="ru-RU"/>
        </w:rPr>
        <w:t>International Economic Institutional Change 1945–2007</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From its initial origins, the IMF has undergone a substantial mission change. Originally established to manage and oversee a system of more or less fixed exchange rates, the IMF’s mandate was fundamentally undermined by the wider, evolving geopolitical context in which it was embedded after World War II and which led to the closing of the gold window and an era of floating exchange rates (Gowa, </w:t>
      </w:r>
      <w:r>
        <w:fldChar w:fldCharType="begin"/>
      </w:r>
      <w:r>
        <w:instrText xml:space="preserve"> HYPERLINK "http://www.oxfordscholarship.com/view/10.1093/acprof:oso/9780199641987.001.0001/acprof-9780199641987-chapter-2" \l "acprof-9780199641987-bibItem-44" </w:instrText>
      </w:r>
      <w:r>
        <w:fldChar w:fldCharType="separate"/>
      </w:r>
      <w:r>
        <w:rPr>
          <w:rFonts w:ascii="Times New Roman" w:hAnsi="Times New Roman" w:eastAsia="Times New Roman"/>
          <w:color w:val="191919" w:themeColor="background1" w:themeShade="1A"/>
          <w:sz w:val="28"/>
          <w:szCs w:val="28"/>
          <w:lang w:val="en-US" w:eastAsia="ru-RU"/>
        </w:rPr>
        <w:t>1983</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The 1970s saw its mission transformed from one of arbiter of global monetary stability to that of arbiter of developing countries’ macroeconomic rectitude (Elliott and Hufbauer, </w:t>
      </w:r>
      <w:r>
        <w:fldChar w:fldCharType="begin"/>
      </w:r>
      <w:r>
        <w:instrText xml:space="preserve"> HYPERLINK "http://www.oxfordscholarship.com/view/10.1093/acprof:oso/9780199641987.001.0001/acprof-9780199641987-chapter-2" \l "acprof-9780199641987-bibItem-37" </w:instrText>
      </w:r>
      <w:r>
        <w:fldChar w:fldCharType="separate"/>
      </w:r>
      <w:r>
        <w:rPr>
          <w:rFonts w:ascii="Times New Roman" w:hAnsi="Times New Roman" w:eastAsia="Times New Roman"/>
          <w:color w:val="191919" w:themeColor="background1" w:themeShade="1A"/>
          <w:sz w:val="28"/>
          <w:szCs w:val="28"/>
          <w:lang w:val="en-US" w:eastAsia="ru-RU"/>
        </w:rPr>
        <w:t>2002</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This mission evolved throughout the 1980s and 1990s as the IMF became primarily associated with the promotion of a “neoliberal” agenda of economic liberalization - and especially policies to enhance asset privatization, government rollback, and capital account liberalization that overtime put the IMF at the center of controversial interventions in the domestic affairs of some of its members.</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 East Asian crises of the late 1990s marked the apogee of IMF interventionism (Wade and Veneroso, </w:t>
      </w:r>
      <w:r>
        <w:fldChar w:fldCharType="begin"/>
      </w:r>
      <w:r>
        <w:instrText xml:space="preserve"> HYPERLINK "http://www.oxfordscholarship.com/view/10.1093/acprof:oso/9780199641987.001.0001/acprof-9780199641987-chapter-2" \l "acprof-9780199641987-bibItem-97" </w:instrText>
      </w:r>
      <w:r>
        <w:fldChar w:fldCharType="separate"/>
      </w:r>
      <w:r>
        <w:rPr>
          <w:rFonts w:ascii="Times New Roman" w:hAnsi="Times New Roman" w:eastAsia="Times New Roman"/>
          <w:color w:val="191919" w:themeColor="background1" w:themeShade="1A"/>
          <w:sz w:val="28"/>
          <w:szCs w:val="28"/>
          <w:lang w:val="en-US" w:eastAsia="ru-RU"/>
        </w:rPr>
        <w:t>1998</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From that time, criticism of its role in crisis management saw the IMF’s influence come under increasing criticism. In effect, the IMF’s desired role as the arbiter of global macroeconomic rectitude, especially in the developing world, had largely disappeared in the wake of its suboptimal performance in the financial crises of the late twentieth century. By the time of the 2006 Singapore Ministerial Meetings, the question of its longer term viability was being widely raised only for it to be saved by its identification as a vehicle for supporting global financial policy in the wake of the 2007–9 crises and the London 2009 G20 summit.</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Like the IMF, the World Bank over its lifetime has undergone a process of mission change that has seen a transformation from its initial role as a vehicle for European reconstruction in the post-World War II era into a vehicle for supporting neoliberal reform in developing countries. This transformation had a natural logic to it in the era of decolonization. Indeed, one of the reasons the Bank attracted so much critical attention in the 1970s to 1990s was because its “structural adjustment” policies complemented IMF policy. Since that time the Bank has undergone a process of self-evaluation and reform reshaped by a changing international environment in which strategic factors and ideas about development changed over time. The postcolonial era preoccupation with “modernization” and the pursuit of massive, often inappropriate, development projects gave way in the late 1990s to a more technocratic approach that stressed its role as a “knowledge bank” with an emphasis on institutional reform, the provision of “good governance,” and a rhetorical commitment to greater inclusiveness and engagement (Stone, </w:t>
      </w:r>
      <w:r>
        <w:fldChar w:fldCharType="begin"/>
      </w:r>
      <w:r>
        <w:instrText xml:space="preserve"> HYPERLINK "http://www.oxfordscholarship.com/view/10.1093/acprof:oso/9780199641987.001.0001/acprof-9780199641987-chapter-2" \l "acprof-9780199641987-bibItem-87" </w:instrText>
      </w:r>
      <w:r>
        <w:fldChar w:fldCharType="separate"/>
      </w:r>
      <w:r>
        <w:rPr>
          <w:rFonts w:ascii="Times New Roman" w:hAnsi="Times New Roman" w:eastAsia="Times New Roman"/>
          <w:color w:val="191919" w:themeColor="background1" w:themeShade="1A"/>
          <w:sz w:val="28"/>
          <w:szCs w:val="28"/>
          <w:lang w:val="en-US" w:eastAsia="ru-RU"/>
        </w:rPr>
        <w:t>2001</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Stone and Wright, </w:t>
      </w:r>
      <w:r>
        <w:fldChar w:fldCharType="begin"/>
      </w:r>
      <w:r>
        <w:instrText xml:space="preserve"> HYPERLINK "http://www.oxfordscholarship.com/view/10.1093/acprof:oso/9780199641987.001.0001/acprof-9780199641987-chapter-2" \l "acprof-9780199641987-bibItem-89" </w:instrText>
      </w:r>
      <w:r>
        <w:fldChar w:fldCharType="separate"/>
      </w:r>
      <w:r>
        <w:rPr>
          <w:rFonts w:ascii="Times New Roman" w:hAnsi="Times New Roman" w:eastAsia="Times New Roman"/>
          <w:color w:val="191919" w:themeColor="background1" w:themeShade="1A"/>
          <w:sz w:val="28"/>
          <w:szCs w:val="28"/>
          <w:lang w:val="en-US" w:eastAsia="ru-RU"/>
        </w:rPr>
        <w:t>2006</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 Bank’s intellectual and practical transition, although more widely accepted and less controversial than that of the IMF, has not been without its internal governance failures and critics (see, e.g., Woods, </w:t>
      </w:r>
      <w:r>
        <w:fldChar w:fldCharType="begin"/>
      </w:r>
      <w:r>
        <w:instrText xml:space="preserve"> HYPERLINK "http://www.oxfordscholarship.com/view/10.1093/acprof:oso/9780199641987.001.0001/acprof-9780199641987-chapter-2" \l "acprof-9780199641987-bibItem-101" </w:instrText>
      </w:r>
      <w:r>
        <w:fldChar w:fldCharType="separate"/>
      </w:r>
      <w:r>
        <w:rPr>
          <w:rFonts w:ascii="Times New Roman" w:hAnsi="Times New Roman" w:eastAsia="Times New Roman"/>
          <w:color w:val="191919" w:themeColor="background1" w:themeShade="1A"/>
          <w:sz w:val="28"/>
          <w:szCs w:val="28"/>
          <w:lang w:val="en-US" w:eastAsia="ru-RU"/>
        </w:rPr>
        <w:t>2006</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Weaver, </w:t>
      </w:r>
      <w:r>
        <w:fldChar w:fldCharType="begin"/>
      </w:r>
      <w:r>
        <w:instrText xml:space="preserve"> HYPERLINK "http://www.oxfordscholarship.com/view/10.1093/acprof:oso/9780199641987.001.0001/acprof-9780199641987-chapter-2" \l "acprof-9780199641987-bibItem-99" </w:instrText>
      </w:r>
      <w:r>
        <w:fldChar w:fldCharType="separate"/>
      </w:r>
      <w:r>
        <w:rPr>
          <w:rFonts w:ascii="Times New Roman" w:hAnsi="Times New Roman" w:eastAsia="Times New Roman"/>
          <w:color w:val="191919" w:themeColor="background1" w:themeShade="1A"/>
          <w:sz w:val="28"/>
          <w:szCs w:val="28"/>
          <w:lang w:val="en-US" w:eastAsia="ru-RU"/>
        </w:rPr>
        <w:t>2008</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Concerns about both the Bank and the Fund’s often unaccountable forms of internal organization, especially with regards to voting rights, continue to reflect the limits of democratization and the entrenched nature of the political influence of the major powers, as indeed is the case in many international organizations more generally (see Keohane et al., </w:t>
      </w:r>
      <w:r>
        <w:fldChar w:fldCharType="begin"/>
      </w:r>
      <w:r>
        <w:instrText xml:space="preserve"> HYPERLINK "http://www.oxfordscholarship.com/view/10.1093/acprof:oso/9780199641987.001.0001/acprof-9780199641987-chapter-2" \l "acprof-9780199641987-bibItem-69" </w:instrText>
      </w:r>
      <w:r>
        <w:fldChar w:fldCharType="separate"/>
      </w:r>
      <w:r>
        <w:rPr>
          <w:rFonts w:ascii="Times New Roman" w:hAnsi="Times New Roman" w:eastAsia="Times New Roman"/>
          <w:color w:val="191919" w:themeColor="background1" w:themeShade="1A"/>
          <w:sz w:val="28"/>
          <w:szCs w:val="28"/>
          <w:lang w:val="en-US" w:eastAsia="ru-RU"/>
        </w:rPr>
        <w:t>2009</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Consequently, despite the Bank’s efforts to differentiate itself from the IMF and respond more effectively to criticisms from “global civil society” and client states over the decade 1998–2007, there remained, as we entered the latest round of economic crisis in 2008, much dissatisfaction with both the ideational and practical roles of the two principal IFIs.</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 original mandate of the third leg of the post-World War II international multilateral economic architectural triangle, the GATT, was to reduce the barriers to trade (principally then tariffs) seen to have played a destructive role in causing and prolonging the Great Depression. The GATT, through a</w:t>
      </w:r>
      <w:r>
        <w:rPr>
          <w:rFonts w:ascii="Times New Roman" w:hAnsi="Times New Roman" w:eastAsia="Times New Roman"/>
          <w:b/>
          <w:bCs/>
          <w:color w:val="191919" w:themeColor="background1" w:themeShade="1A"/>
          <w:sz w:val="28"/>
          <w:szCs w:val="28"/>
          <w:lang w:val="en-US" w:eastAsia="ru-RU"/>
        </w:rPr>
        <w:t> </w:t>
      </w:r>
      <w:r>
        <w:rPr>
          <w:rFonts w:ascii="Times New Roman" w:hAnsi="Times New Roman" w:eastAsia="Times New Roman"/>
          <w:color w:val="191919" w:themeColor="background1" w:themeShade="1A"/>
          <w:sz w:val="28"/>
          <w:szCs w:val="28"/>
          <w:lang w:val="en-US" w:eastAsia="ru-RU"/>
        </w:rPr>
        <w:t>series of seven post-World War II multilateral trade negotiation rounds, successfully and substantially reduced the role of the tariff as an instrument of protection and instilled a series of norms and principles into the multilateral trade regime (see </w:t>
      </w:r>
      <w:r>
        <w:rPr>
          <w:rFonts w:ascii="Times New Roman" w:hAnsi="Times New Roman" w:eastAsia="Times New Roman"/>
          <w:i/>
          <w:iCs/>
          <w:color w:val="191919" w:themeColor="background1" w:themeShade="1A"/>
          <w:sz w:val="28"/>
          <w:szCs w:val="28"/>
          <w:lang w:val="en-US" w:eastAsia="ru-RU"/>
        </w:rPr>
        <w:t>inter alia</w:t>
      </w:r>
      <w:r>
        <w:rPr>
          <w:rFonts w:ascii="Times New Roman" w:hAnsi="Times New Roman" w:eastAsia="Times New Roman"/>
          <w:color w:val="191919" w:themeColor="background1" w:themeShade="1A"/>
          <w:sz w:val="28"/>
          <w:szCs w:val="28"/>
          <w:lang w:val="en-US" w:eastAsia="ru-RU"/>
        </w:rPr>
        <w:t>: Hoekmann and Kostecki, </w:t>
      </w:r>
      <w:r>
        <w:fldChar w:fldCharType="begin"/>
      </w:r>
      <w:r>
        <w:instrText xml:space="preserve"> HYPERLINK "http://www.oxfordscholarship.com/view/10.1093/acprof:oso/9780199641987.001.0001/acprof-9780199641987-chapter-2" \l "acprof-9780199641987-bibItem-59" </w:instrText>
      </w:r>
      <w:r>
        <w:fldChar w:fldCharType="separate"/>
      </w:r>
      <w:r>
        <w:rPr>
          <w:rFonts w:ascii="Times New Roman" w:hAnsi="Times New Roman" w:eastAsia="Times New Roman"/>
          <w:color w:val="191919" w:themeColor="background1" w:themeShade="1A"/>
          <w:sz w:val="28"/>
          <w:szCs w:val="28"/>
          <w:lang w:val="en-US" w:eastAsia="ru-RU"/>
        </w:rPr>
        <w:t>2001</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WTO, </w:t>
      </w:r>
      <w:r>
        <w:fldChar w:fldCharType="begin"/>
      </w:r>
      <w:r>
        <w:instrText xml:space="preserve"> HYPERLINK "http://www.oxfordscholarship.com/view/10.1093/acprof:oso/9780199641987.001.0001/acprof-9780199641987-chapter-2" \l "acprof-9780199641987-bibItem-104" </w:instrText>
      </w:r>
      <w:r>
        <w:fldChar w:fldCharType="separate"/>
      </w:r>
      <w:r>
        <w:rPr>
          <w:rFonts w:ascii="Times New Roman" w:hAnsi="Times New Roman" w:eastAsia="Times New Roman"/>
          <w:color w:val="191919" w:themeColor="background1" w:themeShade="1A"/>
          <w:sz w:val="28"/>
          <w:szCs w:val="28"/>
          <w:lang w:val="en-US" w:eastAsia="ru-RU"/>
        </w:rPr>
        <w:t>2007</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179–201). It also fulfilled some of the generally implicit Cold War, geopolitical goals that underpinned its rationale, along with that of the IMF and the World Bank. As the post-World War II era progressed, the GATT developed major capacity constraints which, with considerable US prompting, eventually provoked a willingness to contemplate a new trade round which ended in the creation of the WTO, a new organization including not only GATT but agreements on services (GATS), and intellectual property (TRIPS) that reflected the interests of the most economically developed countries, especially the United States (see Croome, </w:t>
      </w:r>
      <w:r>
        <w:fldChar w:fldCharType="begin"/>
      </w:r>
      <w:r>
        <w:instrText xml:space="preserve"> HYPERLINK "http://www.oxfordscholarship.com/view/10.1093/acprof:oso/9780199641987.001.0001/acprof-9780199641987-chapter-2" \l "acprof-9780199641987-bibItem-32" </w:instrText>
      </w:r>
      <w:r>
        <w:fldChar w:fldCharType="separate"/>
      </w:r>
      <w:r>
        <w:rPr>
          <w:rFonts w:ascii="Times New Roman" w:hAnsi="Times New Roman" w:eastAsia="Times New Roman"/>
          <w:color w:val="191919" w:themeColor="background1" w:themeShade="1A"/>
          <w:sz w:val="28"/>
          <w:szCs w:val="28"/>
          <w:lang w:val="en-US" w:eastAsia="ru-RU"/>
        </w:rPr>
        <w:t>1995</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Narliker, </w:t>
      </w:r>
      <w:r>
        <w:fldChar w:fldCharType="begin"/>
      </w:r>
      <w:r>
        <w:instrText xml:space="preserve"> HYPERLINK "http://www.oxfordscholarship.com/view/10.1093/acprof:oso/9780199641987.001.0001/acprof-9780199641987-chapter-2" \l "acprof-9780199641987-bibItem-77" </w:instrText>
      </w:r>
      <w:r>
        <w:fldChar w:fldCharType="separate"/>
      </w:r>
      <w:r>
        <w:rPr>
          <w:rFonts w:ascii="Times New Roman" w:hAnsi="Times New Roman" w:eastAsia="Times New Roman"/>
          <w:color w:val="191919" w:themeColor="background1" w:themeShade="1A"/>
          <w:sz w:val="28"/>
          <w:szCs w:val="28"/>
          <w:lang w:val="en-US" w:eastAsia="ru-RU"/>
        </w:rPr>
        <w:t>2005</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As with the IMF and the World Bank, the life of the WTO has not been without difficulties in the contemporary era. Criticized by analysts across the political spectrum, from “right-nationalists” in the United States and parts of Europe to the left-developmentalists and the antiglobalization movements of the South, both groups, albeit from their different perspectives, see the WTO as an excessively intrusive, sovereignty challenging, back door to global governance and would have it abolished. The right nationalists resent what they see as the challenge to sovereignty. The left-developmentalists and antiglobalizers see it crowding developmental “policy space” (see Chang, </w:t>
      </w:r>
      <w:r>
        <w:fldChar w:fldCharType="begin"/>
      </w:r>
      <w:r>
        <w:instrText xml:space="preserve"> HYPERLINK "http://www.oxfordscholarship.com/view/10.1093/acprof:oso/9780199641987.001.0001/acprof-9780199641987-chapter-2" \l "acprof-9780199641987-bibItem-28" </w:instrText>
      </w:r>
      <w:r>
        <w:fldChar w:fldCharType="separate"/>
      </w:r>
      <w:r>
        <w:rPr>
          <w:rFonts w:ascii="Times New Roman" w:hAnsi="Times New Roman" w:eastAsia="Times New Roman"/>
          <w:color w:val="191919" w:themeColor="background1" w:themeShade="1A"/>
          <w:sz w:val="28"/>
          <w:szCs w:val="28"/>
          <w:lang w:val="en-US" w:eastAsia="ru-RU"/>
        </w:rPr>
        <w:t>2002</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Support ranges across a spectrum from market privileging neoclassicists to interventionist Keynesians. But they too recognize that the WTO faces serious problems in maintaining its global economic institutional salience in the early twenty-first century.</w:t>
      </w:r>
    </w:p>
    <w:p>
      <w:pPr>
        <w:shd w:val="clear" w:color="auto" w:fill="FFFFFF"/>
        <w:spacing w:after="0" w:line="240" w:lineRule="auto"/>
        <w:jc w:val="both"/>
        <w:outlineLvl w:val="1"/>
        <w:rPr>
          <w:rFonts w:ascii="Times New Roman" w:hAnsi="Times New Roman" w:eastAsia="Times New Roman"/>
          <w:b/>
          <w:bCs/>
          <w:color w:val="191919" w:themeColor="background1" w:themeShade="1A"/>
          <w:sz w:val="28"/>
          <w:szCs w:val="28"/>
          <w:lang w:val="en-US" w:eastAsia="ru-RU"/>
        </w:rPr>
      </w:pPr>
    </w:p>
    <w:p>
      <w:pPr>
        <w:shd w:val="clear" w:color="auto" w:fill="FFFFFF"/>
        <w:spacing w:after="0" w:line="240" w:lineRule="auto"/>
        <w:jc w:val="both"/>
        <w:outlineLvl w:val="1"/>
        <w:rPr>
          <w:rFonts w:ascii="Times New Roman" w:hAnsi="Times New Roman" w:eastAsia="Times New Roman"/>
          <w:b/>
          <w:bCs/>
          <w:color w:val="191919" w:themeColor="background1" w:themeShade="1A"/>
          <w:sz w:val="28"/>
          <w:szCs w:val="28"/>
          <w:lang w:val="en-US" w:eastAsia="ru-RU"/>
        </w:rPr>
      </w:pPr>
    </w:p>
    <w:p>
      <w:pPr>
        <w:shd w:val="clear" w:color="auto" w:fill="FFFFFF"/>
        <w:spacing w:after="0" w:line="240" w:lineRule="auto"/>
        <w:jc w:val="both"/>
        <w:outlineLvl w:val="1"/>
        <w:rPr>
          <w:rFonts w:ascii="Times New Roman" w:hAnsi="Times New Roman" w:eastAsia="Times New Roman"/>
          <w:b/>
          <w:bCs/>
          <w:color w:val="191919" w:themeColor="background1" w:themeShade="1A"/>
          <w:sz w:val="28"/>
          <w:szCs w:val="28"/>
          <w:lang w:val="en-US" w:eastAsia="ru-RU"/>
        </w:rPr>
      </w:pPr>
      <w:r>
        <w:rPr>
          <w:rFonts w:ascii="Times New Roman" w:hAnsi="Times New Roman" w:eastAsia="Times New Roman"/>
          <w:b/>
          <w:bCs/>
          <w:color w:val="191919" w:themeColor="background1" w:themeShade="1A"/>
          <w:sz w:val="28"/>
          <w:szCs w:val="28"/>
          <w:lang w:val="en-US" w:eastAsia="ru-RU"/>
        </w:rPr>
        <w:t>System-Level Structural Change from GFC to G20</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Discontent over the roles of the IFIs, in both the analytical and policy communities, has been a continuing theme in the post-World War II period. The East Asian crisis of the late 1990s brought dissatisfaction with the so-called “international financial architecture” to something of a head. Observers felt that if the IFIs were not in some way responsible for the crisis by encouraging premature economic liberalization, they were certainly culpable in failing to manage the impact of and recovery from the crisis. Indeed, one of the big lessons that East Asian economic and political elites drew from the crisis was that the region rapidly needed to develop its own economic institutions if it wanted to be able to respond more effectively to future crises (Higgott, </w:t>
      </w:r>
      <w:r>
        <w:fldChar w:fldCharType="begin"/>
      </w:r>
      <w:r>
        <w:instrText xml:space="preserve"> HYPERLINK "http://www.oxfordscholarship.com/view/10.1093/acprof:oso/9780199641987.001.0001/acprof-9780199641987-chapter-2" \l "acprof-9780199641987-bibItem-52" </w:instrText>
      </w:r>
      <w:r>
        <w:fldChar w:fldCharType="separate"/>
      </w:r>
      <w:r>
        <w:rPr>
          <w:rFonts w:ascii="Times New Roman" w:hAnsi="Times New Roman" w:eastAsia="Times New Roman"/>
          <w:color w:val="191919" w:themeColor="background1" w:themeShade="1A"/>
          <w:sz w:val="28"/>
          <w:szCs w:val="28"/>
          <w:lang w:val="en-US" w:eastAsia="ru-RU"/>
        </w:rPr>
        <w:t>1998</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Grimes, </w:t>
      </w:r>
      <w:r>
        <w:fldChar w:fldCharType="begin"/>
      </w:r>
      <w:r>
        <w:instrText xml:space="preserve"> HYPERLINK "http://www.oxfordscholarship.com/view/10.1093/acprof:oso/9780199641987.001.0001/acprof-9780199641987-chapter-2" \l "acprof-9780199641987-bibItem-45" </w:instrText>
      </w:r>
      <w:r>
        <w:fldChar w:fldCharType="separate"/>
      </w:r>
      <w:r>
        <w:rPr>
          <w:rFonts w:ascii="Times New Roman" w:hAnsi="Times New Roman" w:eastAsia="Times New Roman"/>
          <w:color w:val="191919" w:themeColor="background1" w:themeShade="1A"/>
          <w:sz w:val="28"/>
          <w:szCs w:val="28"/>
          <w:lang w:val="en-US" w:eastAsia="ru-RU"/>
        </w:rPr>
        <w:t>2009</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As a consequence, there have been accelerated efforts to develop new, regionally based economic mechanisms (Deiter and Higgott, </w:t>
      </w:r>
      <w:r>
        <w:fldChar w:fldCharType="begin"/>
      </w:r>
      <w:r>
        <w:instrText xml:space="preserve"> HYPERLINK "http://www.oxfordscholarship.com/view/10.1093/acprof:oso/9780199641987.001.0001/acprof-9780199641987-chapter-2" \l "acprof-9780199641987-bibItem-34" </w:instrText>
      </w:r>
      <w:r>
        <w:fldChar w:fldCharType="separate"/>
      </w:r>
      <w:r>
        <w:rPr>
          <w:rFonts w:ascii="Times New Roman" w:hAnsi="Times New Roman" w:eastAsia="Times New Roman"/>
          <w:color w:val="191919" w:themeColor="background1" w:themeShade="1A"/>
          <w:sz w:val="28"/>
          <w:szCs w:val="28"/>
          <w:lang w:val="en-US" w:eastAsia="ru-RU"/>
        </w:rPr>
        <w:t>2003</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One of the great paradoxes of globalization has been a noteworthy </w:t>
      </w:r>
      <w:r>
        <w:rPr>
          <w:rFonts w:ascii="Times New Roman" w:hAnsi="Times New Roman" w:eastAsia="Times New Roman"/>
          <w:b/>
          <w:bCs/>
          <w:color w:val="191919" w:themeColor="background1" w:themeShade="1A"/>
          <w:sz w:val="28"/>
          <w:szCs w:val="28"/>
          <w:lang w:val="en-US" w:eastAsia="ru-RU"/>
        </w:rPr>
        <w:t> </w:t>
      </w:r>
      <w:r>
        <w:rPr>
          <w:rFonts w:ascii="Times New Roman" w:hAnsi="Times New Roman" w:eastAsia="Times New Roman"/>
          <w:color w:val="191919" w:themeColor="background1" w:themeShade="1A"/>
          <w:sz w:val="28"/>
          <w:szCs w:val="28"/>
          <w:lang w:val="en-US" w:eastAsia="ru-RU"/>
        </w:rPr>
        <w:t>proliferation of institutions to either encourage regional integration or to generate regional responses to specific problems of a global nature. Indeed, the growth of </w:t>
      </w:r>
      <w:r>
        <w:rPr>
          <w:rFonts w:ascii="Times New Roman" w:hAnsi="Times New Roman" w:eastAsia="Times New Roman"/>
          <w:iCs/>
          <w:color w:val="191919" w:themeColor="background1" w:themeShade="1A"/>
          <w:sz w:val="28"/>
          <w:szCs w:val="28"/>
          <w:lang w:val="en-US" w:eastAsia="ru-RU"/>
        </w:rPr>
        <w:t>regional</w:t>
      </w:r>
      <w:r>
        <w:rPr>
          <w:rFonts w:ascii="Times New Roman" w:hAnsi="Times New Roman" w:eastAsia="Times New Roman"/>
          <w:color w:val="191919" w:themeColor="background1" w:themeShade="1A"/>
          <w:sz w:val="28"/>
          <w:szCs w:val="28"/>
          <w:lang w:val="en-US" w:eastAsia="ru-RU"/>
        </w:rPr>
        <w:t> multilateral economic institutions must be seen as the other side of the coin of </w:t>
      </w:r>
      <w:r>
        <w:rPr>
          <w:rFonts w:ascii="Times New Roman" w:hAnsi="Times New Roman" w:eastAsia="Times New Roman"/>
          <w:iCs/>
          <w:color w:val="191919" w:themeColor="background1" w:themeShade="1A"/>
          <w:sz w:val="28"/>
          <w:szCs w:val="28"/>
          <w:lang w:val="en-US" w:eastAsia="ru-RU"/>
        </w:rPr>
        <w:t>global</w:t>
      </w:r>
      <w:r>
        <w:rPr>
          <w:rFonts w:ascii="Times New Roman" w:hAnsi="Times New Roman" w:eastAsia="Times New Roman"/>
          <w:color w:val="191919" w:themeColor="background1" w:themeShade="1A"/>
          <w:sz w:val="28"/>
          <w:szCs w:val="28"/>
          <w:lang w:val="en-US" w:eastAsia="ru-RU"/>
        </w:rPr>
        <w:t> multilateralism.</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Continuing doubts about our abilities to provide an appropriate multilateral regulatory framework for the management of the economy at the global level exacerbated in the wake of the great recession of 2007–9. At the time of the GFC, the international economic and trade institutions, especially the IMF and the WTO, were languishing. The IMF was in search of a new role; the WTO was proving incapable of completing the Doha MTN. At the systemic level, even if “the West” in general (to use our old categories) and the United States in particular remain the dominant loci of power in the global order, they will need to find new ways of accommodating to the interests and values of others. A (relative) loss of both moral authority and material power now constrains the US’s abilities to set and implement the global economic policy agenda for the rest of the world. Neither the west collectively nor the United States individually can exclusively hold the moral high ground occupied, for example, during the first Gulf War on the one hand and during the Asian financial crises of 1998 on the other. Practices in the security domain, and perhaps even more so practices in the recent global financial context, have eroded key elements of the West’s moral authority. The development of the G20 can be read as much as an attempt to address this problem as much as a response to the GFC </w:t>
      </w:r>
      <w:r>
        <w:rPr>
          <w:rFonts w:ascii="Times New Roman" w:hAnsi="Times New Roman" w:eastAsia="Times New Roman"/>
          <w:iCs/>
          <w:color w:val="191919" w:themeColor="background1" w:themeShade="1A"/>
          <w:sz w:val="28"/>
          <w:szCs w:val="28"/>
          <w:lang w:val="en-US" w:eastAsia="ru-RU"/>
        </w:rPr>
        <w:t>toute courte</w:t>
      </w:r>
      <w:r>
        <w:rPr>
          <w:rFonts w:ascii="Times New Roman" w:hAnsi="Times New Roman" w:eastAsia="Times New Roman"/>
          <w:color w:val="191919" w:themeColor="background1" w:themeShade="1A"/>
          <w:sz w:val="28"/>
          <w:szCs w:val="28"/>
          <w:lang w:val="en-US" w:eastAsia="ru-RU"/>
        </w:rPr>
        <w:t>.</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Although an idea developed from an earlier Canadian initiative (see Higgott, </w:t>
      </w:r>
      <w:r>
        <w:fldChar w:fldCharType="begin"/>
      </w:r>
      <w:r>
        <w:instrText xml:space="preserve"> HYPERLINK "http://www.oxfordscholarship.com/view/10.1093/acprof:oso/9780199641987.001.0001/acprof-9780199641987-chapter-2" \l "acprof-9780199641987-bibItem-54" </w:instrText>
      </w:r>
      <w:r>
        <w:fldChar w:fldCharType="separate"/>
      </w:r>
      <w:r>
        <w:rPr>
          <w:rFonts w:ascii="Times New Roman" w:hAnsi="Times New Roman" w:eastAsia="Times New Roman"/>
          <w:color w:val="191919" w:themeColor="background1" w:themeShade="1A"/>
          <w:sz w:val="28"/>
          <w:szCs w:val="28"/>
          <w:lang w:val="en-US" w:eastAsia="ru-RU"/>
        </w:rPr>
        <w:t>2005</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the G20 failed to gain momentum until the crises of 2007–9. In institutional form the G20 certainly addresses some of the problems inherent in the other international economic bodies. It is not as exclusive as the G7/8; it has a balance of developed and developing countries including key actors such as Brazil, China, and India. It accounts for 90 percent of total global market capitalization, 80 percent of global trade, and two-thirds of the world’s population. Hence, the prominence achieved by the G20 in the wake of the recent crisis should be seen as part of a genuine push to develop a more representative multilateralism. As Ramesh Thakur notes (2011), it is the obvious institutional meeting point, between the extremes of the G8 on the one hand and the UN on the other, for a form of global governance capable of being seen as legitimate (judged by inclusiveness and representation) while at the same time offering the best chance of effective and efficient decision-making.</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And yet, it remains far from clear how effective such a group might be in the long term. The frenzied short-run analysis that emerges around each summit (see the activities of CIGI) offers little to our longer term substantive thinking on the global governance issue. Notwithstanding all the hype, there clearly remains a reluctance on the part of the major powers, especially the United</w:t>
      </w:r>
      <w:r>
        <w:rPr>
          <w:rFonts w:ascii="Times New Roman" w:hAnsi="Times New Roman" w:eastAsia="Times New Roman"/>
          <w:b/>
          <w:bCs/>
          <w:color w:val="191919" w:themeColor="background1" w:themeShade="1A"/>
          <w:sz w:val="28"/>
          <w:szCs w:val="28"/>
          <w:lang w:val="en-US" w:eastAsia="ru-RU"/>
        </w:rPr>
        <w:t> </w:t>
      </w:r>
      <w:r>
        <w:rPr>
          <w:rFonts w:ascii="Times New Roman" w:hAnsi="Times New Roman" w:eastAsia="Times New Roman"/>
          <w:color w:val="191919" w:themeColor="background1" w:themeShade="1A"/>
          <w:sz w:val="28"/>
          <w:szCs w:val="28"/>
          <w:lang w:val="en-US" w:eastAsia="ru-RU"/>
        </w:rPr>
        <w:t>States and declining major powers in Europe, to develop the G20 institutionally or share power in any meaningful manner with the new actors from the South (see Beeson and Bell, </w:t>
      </w:r>
      <w:r>
        <w:fldChar w:fldCharType="begin"/>
      </w:r>
      <w:r>
        <w:instrText xml:space="preserve"> HYPERLINK "http://www.oxfordscholarship.com/view/10.1093/acprof:oso/9780199641987.001.0001/acprof-9780199641987-chapter-2" \l "acprof-9780199641987-bibItem-20" </w:instrText>
      </w:r>
      <w:r>
        <w:fldChar w:fldCharType="separate"/>
      </w:r>
      <w:r>
        <w:rPr>
          <w:rFonts w:ascii="Times New Roman" w:hAnsi="Times New Roman" w:eastAsia="Times New Roman"/>
          <w:color w:val="191919" w:themeColor="background1" w:themeShade="1A"/>
          <w:sz w:val="28"/>
          <w:szCs w:val="28"/>
          <w:lang w:val="en-US" w:eastAsia="ru-RU"/>
        </w:rPr>
        <w:t>2009</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The key question is whether the G20 can retain the positive attributes it developed as a crisis buster at the height of the GFC to become the hub, or what Cooper and Bradford (2010) call the “steering committee” of an increasingly networked system of global governance. Can the G20 fill a role not currently played by a selective but increasingly unrepresentative group like the G8 on the one hand and a UN struggling to remain relevant as a negotiating forum in the wake of unedifying exercises such as Copenhagen 2009 on the other?</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To turn the G20 into the preeminent multilateral forum for global economic decision-making would require a process of demolition and building the major developed countries are not willing to contemplate. The G8 would need to be demolished and a permanent secretariat (as opposed to management by troika) created with a mandate wider than just financial and economic matters. But the commitment to multilateralism is more rhetorical than real. For example, regardless of its stated desires to underwrite and reinforce multilateralism as the principal </w:t>
      </w:r>
      <w:r>
        <w:rPr>
          <w:rFonts w:ascii="Times New Roman" w:hAnsi="Times New Roman" w:eastAsia="Times New Roman"/>
          <w:iCs/>
          <w:color w:val="191919" w:themeColor="background1" w:themeShade="1A"/>
          <w:sz w:val="28"/>
          <w:szCs w:val="28"/>
          <w:lang w:val="en-US" w:eastAsia="ru-RU"/>
        </w:rPr>
        <w:t>modus operandi</w:t>
      </w:r>
      <w:r>
        <w:rPr>
          <w:rFonts w:ascii="Times New Roman" w:hAnsi="Times New Roman" w:eastAsia="Times New Roman"/>
          <w:color w:val="191919" w:themeColor="background1" w:themeShade="1A"/>
          <w:sz w:val="28"/>
          <w:szCs w:val="28"/>
          <w:lang w:val="en-US" w:eastAsia="ru-RU"/>
        </w:rPr>
        <w:t> of what its foreign policy elites sees as the multipolar era (Higgott, 2010), the EU has yet to show that it is willing to assist the institutional enhancement of an initiative like the G20 by pooling its multiple voices to allow greater representation of the emerging powers in what many of them still perceive as essentially Western state-led activities. In the absence of this major kind of substantive change, the G20 is likely to be seen less as an attempt to modify multilateralism to twenty-first century conditions, especially in the face of economic crisis, rather than as an extended consultation group for the old G7 with the emerging actors - perhaps “the last gasp of an old fashioned concert of great powers” (Woods, 2010: 51), albeit one with some degree of global authority.</w:t>
      </w:r>
    </w:p>
    <w:p>
      <w:pPr>
        <w:shd w:val="clear" w:color="auto" w:fill="FFFFFF"/>
        <w:spacing w:after="0" w:line="240" w:lineRule="auto"/>
        <w:ind w:firstLine="567"/>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Indeed, on one reading, the empirical evidence from the financial crises of 2007 - 9 would suggest that it is the traditional powers that still set the agenda of global governance reform in the economic domain. At the global, as opposed to national, level, the creation of the G20, and especially the Financial Stability Board (FSB) as its first major institutional innovation, supports this view. While the rhetoric of G20ism prevails, such moves and initiatives such as Basel III should be seen less as a genuine desire for reform and more as a reactive, crisis driven, policy response forced on decision-makers in part by a political imperative to signal action to a range of national and international political constituencies. Contrary to the claim of US Secretary of the Treasury Tim Geithner, the FSB has certainly not achieved the status as the “fourth pillar” of the architecture of global economic governance.</w:t>
      </w:r>
    </w:p>
    <w:p>
      <w:pPr>
        <w:shd w:val="clear" w:color="auto" w:fill="FFFFFF"/>
        <w:spacing w:after="0" w:line="240" w:lineRule="auto"/>
        <w:ind w:firstLine="567"/>
        <w:jc w:val="both"/>
        <w:rPr>
          <w:rFonts w:ascii="Times New Roman" w:hAnsi="Times New Roman" w:eastAsia="Times New Roman"/>
          <w:b/>
          <w:color w:val="191919" w:themeColor="background1" w:themeShade="1A"/>
          <w:sz w:val="28"/>
          <w:szCs w:val="28"/>
          <w:lang w:val="en-US" w:eastAsia="ru-RU"/>
        </w:rPr>
      </w:pPr>
    </w:p>
    <w:p>
      <w:pPr>
        <w:shd w:val="clear" w:color="auto" w:fill="FFFFFF"/>
        <w:spacing w:after="0" w:line="240" w:lineRule="auto"/>
        <w:jc w:val="center"/>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Questions:</w:t>
      </w:r>
    </w:p>
    <w:p>
      <w:pPr>
        <w:pStyle w:val="19"/>
        <w:jc w:val="both"/>
        <w:rPr>
          <w:color w:val="191919" w:themeColor="background1" w:themeShade="1A"/>
          <w:sz w:val="28"/>
          <w:szCs w:val="28"/>
          <w:lang w:val="en-US"/>
        </w:rPr>
      </w:pPr>
      <w:r>
        <w:rPr>
          <w:bCs/>
          <w:color w:val="191919" w:themeColor="background1" w:themeShade="1A"/>
          <w:sz w:val="28"/>
          <w:szCs w:val="28"/>
          <w:lang w:val="en-US"/>
        </w:rPr>
        <w:t xml:space="preserve">Can you tell about the global economic governance?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explain the main theoretical concepts of global governance?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explain the role of formal and informal international organizations?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Can you explain the main findings on up-to-date trends? </w:t>
      </w:r>
    </w:p>
    <w:p>
      <w:pPr>
        <w:shd w:val="clear" w:color="auto" w:fill="FFFFFF"/>
        <w:spacing w:after="0" w:line="240" w:lineRule="auto"/>
        <w:jc w:val="center"/>
        <w:rPr>
          <w:rFonts w:ascii="Times New Roman" w:hAnsi="Times New Roman" w:eastAsia="Times New Roman"/>
          <w:color w:val="191919" w:themeColor="background1" w:themeShade="1A"/>
          <w:sz w:val="28"/>
          <w:szCs w:val="28"/>
          <w:lang w:val="en-US" w:eastAsia="ru-RU"/>
        </w:rPr>
      </w:pPr>
    </w:p>
    <w:p>
      <w:pPr>
        <w:shd w:val="clear" w:color="auto" w:fill="FFFFFF"/>
        <w:spacing w:after="0" w:line="240" w:lineRule="auto"/>
        <w:jc w:val="center"/>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References:</w:t>
      </w:r>
    </w:p>
    <w:p>
      <w:pPr>
        <w:numPr>
          <w:ilvl w:val="0"/>
          <w:numId w:val="48"/>
        </w:numPr>
        <w:shd w:val="clear" w:color="auto" w:fill="FFFFFF"/>
        <w:spacing w:after="0" w:line="240" w:lineRule="auto"/>
        <w:ind w:left="0" w:firstLine="0"/>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Armijo, L. E. (ed.) (2016) </w:t>
      </w:r>
      <w:r>
        <w:rPr>
          <w:rFonts w:ascii="Times New Roman" w:hAnsi="Times New Roman" w:eastAsia="Times New Roman"/>
          <w:iCs/>
          <w:color w:val="191919" w:themeColor="background1" w:themeShade="1A"/>
          <w:sz w:val="28"/>
          <w:szCs w:val="28"/>
          <w:lang w:val="en-US" w:eastAsia="ru-RU"/>
        </w:rPr>
        <w:t>Debating the Global Financial Architecture</w:t>
      </w:r>
      <w:r>
        <w:rPr>
          <w:rFonts w:ascii="Times New Roman" w:hAnsi="Times New Roman" w:eastAsia="Times New Roman"/>
          <w:color w:val="191919" w:themeColor="background1" w:themeShade="1A"/>
          <w:sz w:val="28"/>
          <w:szCs w:val="28"/>
          <w:lang w:val="en-US" w:eastAsia="ru-RU"/>
        </w:rPr>
        <w:t>. New York: New York State University.</w:t>
      </w:r>
    </w:p>
    <w:p>
      <w:pPr>
        <w:numPr>
          <w:ilvl w:val="0"/>
          <w:numId w:val="48"/>
        </w:numPr>
        <w:shd w:val="clear" w:color="auto" w:fill="FFFFFF"/>
        <w:spacing w:after="0" w:line="240" w:lineRule="auto"/>
        <w:ind w:left="0" w:firstLine="0"/>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Armstrong, D., Lloyd, L., and Redmond, J. B. (2015) </w:t>
      </w:r>
      <w:r>
        <w:rPr>
          <w:rFonts w:ascii="Times New Roman" w:hAnsi="Times New Roman" w:eastAsia="Times New Roman"/>
          <w:iCs/>
          <w:color w:val="191919" w:themeColor="background1" w:themeShade="1A"/>
          <w:sz w:val="28"/>
          <w:szCs w:val="28"/>
          <w:lang w:val="en-US" w:eastAsia="ru-RU"/>
        </w:rPr>
        <w:t>International Organisation in World Politics</w:t>
      </w:r>
      <w:r>
        <w:rPr>
          <w:rFonts w:ascii="Times New Roman" w:hAnsi="Times New Roman" w:eastAsia="Times New Roman"/>
          <w:color w:val="191919" w:themeColor="background1" w:themeShade="1A"/>
          <w:sz w:val="28"/>
          <w:szCs w:val="28"/>
          <w:lang w:val="en-US" w:eastAsia="ru-RU"/>
        </w:rPr>
        <w:t>. Basingstoke: Palgrave.</w:t>
      </w:r>
    </w:p>
    <w:p>
      <w:pPr>
        <w:numPr>
          <w:ilvl w:val="0"/>
          <w:numId w:val="48"/>
        </w:numPr>
        <w:shd w:val="clear" w:color="auto" w:fill="FFFFFF"/>
        <w:spacing w:after="0" w:line="240" w:lineRule="auto"/>
        <w:ind w:left="0" w:firstLine="0"/>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Baldwin, R. (2016) “Multilateralising Regionalism: Spaghetti Bowls as Building Blocs on the Path to Global Free Trade,” </w:t>
      </w:r>
      <w:r>
        <w:rPr>
          <w:rFonts w:ascii="Times New Roman" w:hAnsi="Times New Roman" w:eastAsia="Times New Roman"/>
          <w:iCs/>
          <w:color w:val="191919" w:themeColor="background1" w:themeShade="1A"/>
          <w:sz w:val="28"/>
          <w:szCs w:val="28"/>
          <w:lang w:val="en-US" w:eastAsia="ru-RU"/>
        </w:rPr>
        <w:t>The World Economy</w:t>
      </w:r>
      <w:r>
        <w:rPr>
          <w:rFonts w:ascii="Times New Roman" w:hAnsi="Times New Roman" w:eastAsia="Times New Roman"/>
          <w:color w:val="191919" w:themeColor="background1" w:themeShade="1A"/>
          <w:sz w:val="28"/>
          <w:szCs w:val="28"/>
          <w:lang w:val="en-US" w:eastAsia="ru-RU"/>
        </w:rPr>
        <w:t> 29 (11): 1451–518.</w:t>
      </w:r>
    </w:p>
    <w:p>
      <w:pPr>
        <w:numPr>
          <w:ilvl w:val="0"/>
          <w:numId w:val="48"/>
        </w:numPr>
        <w:shd w:val="clear" w:color="auto" w:fill="FFFFFF"/>
        <w:spacing w:after="0" w:line="240" w:lineRule="auto"/>
        <w:ind w:left="0" w:firstLine="0"/>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Evenett, S. and Low, P. (2017) “Beyond Tariffs: Multilaterising Deeper RTA Commitments,” </w:t>
      </w:r>
      <w:r>
        <w:rPr>
          <w:rFonts w:ascii="Times New Roman" w:hAnsi="Times New Roman" w:eastAsia="Times New Roman"/>
          <w:iCs/>
          <w:color w:val="191919" w:themeColor="background1" w:themeShade="1A"/>
          <w:sz w:val="28"/>
          <w:szCs w:val="28"/>
          <w:lang w:val="en-US" w:eastAsia="ru-RU"/>
        </w:rPr>
        <w:t>Multilateralizing Regionalism Conference</w:t>
      </w:r>
      <w:r>
        <w:rPr>
          <w:rFonts w:ascii="Times New Roman" w:hAnsi="Times New Roman" w:eastAsia="Times New Roman"/>
          <w:color w:val="191919" w:themeColor="background1" w:themeShade="1A"/>
          <w:sz w:val="28"/>
          <w:szCs w:val="28"/>
          <w:lang w:val="en-US" w:eastAsia="ru-RU"/>
        </w:rPr>
        <w:t>, Geneva, September 10–12, 2007,</w:t>
      </w:r>
    </w:p>
    <w:p>
      <w:pPr>
        <w:numPr>
          <w:ilvl w:val="0"/>
          <w:numId w:val="48"/>
        </w:numPr>
        <w:shd w:val="clear" w:color="auto" w:fill="FFFFFF"/>
        <w:spacing w:after="0" w:line="240" w:lineRule="auto"/>
        <w:ind w:left="0" w:firstLine="0"/>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Beeson, M. and Bell, S. (2017) “The G-20 and International Economic Governance: Hegemony, Collectivism, or Both?” </w:t>
      </w:r>
      <w:r>
        <w:rPr>
          <w:rFonts w:ascii="Times New Roman" w:hAnsi="Times New Roman" w:eastAsia="Times New Roman"/>
          <w:iCs/>
          <w:color w:val="191919" w:themeColor="background1" w:themeShade="1A"/>
          <w:sz w:val="28"/>
          <w:szCs w:val="28"/>
          <w:lang w:val="en-US" w:eastAsia="ru-RU"/>
        </w:rPr>
        <w:t>Global Governance</w:t>
      </w:r>
      <w:r>
        <w:rPr>
          <w:rFonts w:ascii="Times New Roman" w:hAnsi="Times New Roman" w:eastAsia="Times New Roman"/>
          <w:color w:val="191919" w:themeColor="background1" w:themeShade="1A"/>
          <w:sz w:val="28"/>
          <w:szCs w:val="28"/>
          <w:lang w:val="en-US" w:eastAsia="ru-RU"/>
        </w:rPr>
        <w:t> 15(1): 67–86.</w:t>
      </w:r>
    </w:p>
    <w:p>
      <w:pPr>
        <w:numPr>
          <w:ilvl w:val="0"/>
          <w:numId w:val="48"/>
        </w:numPr>
        <w:shd w:val="clear" w:color="auto" w:fill="FFFFFF"/>
        <w:spacing w:after="0" w:line="240" w:lineRule="auto"/>
        <w:ind w:left="0" w:firstLine="0"/>
        <w:jc w:val="both"/>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Higgott, R. (2016) “Hegemony, Institutionalism and US Foreign Policy: Theory and Practice in Comparative Historical Perspective,” </w:t>
      </w:r>
      <w:r>
        <w:rPr>
          <w:rFonts w:ascii="Times New Roman" w:hAnsi="Times New Roman" w:eastAsia="Times New Roman"/>
          <w:iCs/>
          <w:color w:val="191919" w:themeColor="background1" w:themeShade="1A"/>
          <w:sz w:val="28"/>
          <w:szCs w:val="28"/>
          <w:lang w:val="en-US" w:eastAsia="ru-RU"/>
        </w:rPr>
        <w:t>Third World Quarterly</w:t>
      </w:r>
      <w:r>
        <w:rPr>
          <w:rFonts w:ascii="Times New Roman" w:hAnsi="Times New Roman" w:eastAsia="Times New Roman"/>
          <w:color w:val="191919" w:themeColor="background1" w:themeShade="1A"/>
          <w:sz w:val="28"/>
          <w:szCs w:val="28"/>
          <w:lang w:val="en-US" w:eastAsia="ru-RU"/>
        </w:rPr>
        <w:t> 26(7): 1173–88.</w:t>
      </w:r>
    </w:p>
    <w:p>
      <w:pPr>
        <w:spacing w:after="0" w:line="240" w:lineRule="auto"/>
        <w:jc w:val="both"/>
        <w:rPr>
          <w:rFonts w:ascii="Times New Roman" w:hAnsi="Times New Roman"/>
          <w:b/>
          <w:color w:val="191919" w:themeColor="background1" w:themeShade="1A"/>
          <w:sz w:val="28"/>
          <w:szCs w:val="28"/>
          <w:lang w:val="en-US"/>
        </w:rPr>
      </w:pPr>
    </w:p>
    <w:p>
      <w:pPr>
        <w:spacing w:after="0" w:line="240" w:lineRule="auto"/>
        <w:jc w:val="both"/>
        <w:rPr>
          <w:rFonts w:ascii="Times New Roman" w:hAnsi="Times New Roman"/>
          <w:b/>
          <w:color w:val="191919" w:themeColor="background1" w:themeShade="1A"/>
          <w:sz w:val="28"/>
          <w:szCs w:val="28"/>
          <w:lang w:val="en-US"/>
        </w:rPr>
      </w:pPr>
    </w:p>
    <w:p>
      <w:pPr>
        <w:pStyle w:val="19"/>
        <w:jc w:val="both"/>
        <w:rPr>
          <w:color w:val="191919" w:themeColor="background1" w:themeShade="1A"/>
          <w:sz w:val="28"/>
          <w:szCs w:val="28"/>
          <w:lang w:val="en-US"/>
        </w:rPr>
      </w:pPr>
      <w:r>
        <w:rPr>
          <w:b/>
          <w:color w:val="191919" w:themeColor="background1" w:themeShade="1A"/>
          <w:sz w:val="28"/>
          <w:szCs w:val="28"/>
          <w:lang w:val="en-US"/>
        </w:rPr>
        <w:t xml:space="preserve">Subject 15. </w:t>
      </w:r>
      <w:r>
        <w:rPr>
          <w:b/>
          <w:bCs/>
          <w:color w:val="191919" w:themeColor="background1" w:themeShade="1A"/>
          <w:sz w:val="28"/>
          <w:szCs w:val="28"/>
          <w:lang w:val="en-US"/>
        </w:rPr>
        <w:t xml:space="preserve">Environmental and cultural issues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Ozone layer.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Global warming.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Ecology – a global public good.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Global Education.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Sports as part of the global economy. </w:t>
      </w:r>
    </w:p>
    <w:p>
      <w:pPr>
        <w:pStyle w:val="19"/>
        <w:jc w:val="both"/>
        <w:rPr>
          <w:color w:val="191919" w:themeColor="background1" w:themeShade="1A"/>
          <w:sz w:val="28"/>
          <w:szCs w:val="28"/>
          <w:lang w:val="en-US"/>
        </w:rPr>
      </w:pPr>
      <w:r>
        <w:rPr>
          <w:color w:val="191919" w:themeColor="background1" w:themeShade="1A"/>
          <w:sz w:val="28"/>
          <w:szCs w:val="28"/>
          <w:lang w:val="en-US"/>
        </w:rPr>
        <w:t>The argument of cultural independence and market failure.</w:t>
      </w:r>
    </w:p>
    <w:p>
      <w:pPr>
        <w:pStyle w:val="19"/>
        <w:jc w:val="both"/>
        <w:rPr>
          <w:color w:val="191919" w:themeColor="background1" w:themeShade="1A"/>
          <w:sz w:val="28"/>
          <w:szCs w:val="28"/>
          <w:lang w:val="en-US"/>
        </w:rPr>
      </w:pPr>
    </w:p>
    <w:p>
      <w:pPr>
        <w:shd w:val="clear" w:color="auto" w:fill="FFFFFF"/>
        <w:spacing w:after="0" w:line="240" w:lineRule="auto"/>
        <w:ind w:firstLine="708"/>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Cultural values influence a myriad of topics - education, wealth distribution, government oversight - but the extent to which these values influence environmental attitudes is not well documented. Data from a </w:t>
      </w:r>
      <w:r>
        <w:fldChar w:fldCharType="begin"/>
      </w:r>
      <w:r>
        <w:instrText xml:space="preserve"> HYPERLINK "http://www.readcube.com/articles/10.1007/s10018-013-0066-6" </w:instrText>
      </w:r>
      <w:r>
        <w:fldChar w:fldCharType="separate"/>
      </w:r>
      <w:r>
        <w:rPr>
          <w:rFonts w:ascii="Times New Roman" w:hAnsi="Times New Roman" w:eastAsia="Times New Roman"/>
          <w:color w:val="191919" w:themeColor="background1" w:themeShade="1A"/>
          <w:sz w:val="28"/>
          <w:szCs w:val="28"/>
          <w:lang w:val="en-US" w:eastAsia="ru-RU"/>
        </w:rPr>
        <w:t>2013 study by economists George Halkos and Nickolaos Tzeremes in the </w:t>
      </w:r>
      <w:r>
        <w:rPr>
          <w:rFonts w:ascii="Times New Roman" w:hAnsi="Times New Roman" w:eastAsia="Times New Roman"/>
          <w:iCs/>
          <w:color w:val="191919" w:themeColor="background1" w:themeShade="1A"/>
          <w:sz w:val="28"/>
          <w:szCs w:val="28"/>
          <w:lang w:val="en-US" w:eastAsia="ru-RU"/>
        </w:rPr>
        <w:t>Journal of Environmental Economics and Policy Studies</w:t>
      </w:r>
      <w:r>
        <w:rPr>
          <w:rFonts w:ascii="Times New Roman" w:hAnsi="Times New Roman" w:eastAsia="Times New Roman"/>
          <w:iCs/>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evaluates just such an influence in the relationship between major cultural dimensions and ecologic efficiency. During the last ten years, efforts to quantify a country’s environmental performance have been conducted through Environmental Performance Indexes (EPIs) - formally recognized “scorecards” developed in response to the </w:t>
      </w:r>
      <w:r>
        <w:fldChar w:fldCharType="begin"/>
      </w:r>
      <w:r>
        <w:instrText xml:space="preserve"> HYPERLINK "http://www.un.org/millenniumgoals/bkgd.shtml" </w:instrText>
      </w:r>
      <w:r>
        <w:fldChar w:fldCharType="separate"/>
      </w:r>
      <w:r>
        <w:rPr>
          <w:rFonts w:ascii="Times New Roman" w:hAnsi="Times New Roman" w:eastAsia="Times New Roman"/>
          <w:color w:val="191919" w:themeColor="background1" w:themeShade="1A"/>
          <w:sz w:val="28"/>
          <w:szCs w:val="28"/>
          <w:lang w:val="en-US" w:eastAsia="ru-RU"/>
        </w:rPr>
        <w:t>Millennium Development Goals</w:t>
      </w:r>
      <w:r>
        <w:rPr>
          <w:rFonts w:ascii="Times New Roman" w:hAnsi="Times New Roman" w:eastAsia="Times New Roman"/>
          <w:color w:val="191919" w:themeColor="background1" w:themeShade="1A"/>
          <w:sz w:val="28"/>
          <w:szCs w:val="28"/>
          <w:lang w:val="en-US" w:eastAsia="ru-RU"/>
        </w:rPr>
        <w:fldChar w:fldCharType="end"/>
      </w:r>
      <w:r>
        <w:rPr>
          <w:rFonts w:ascii="Times New Roman" w:hAnsi="Times New Roman" w:eastAsia="Times New Roman"/>
          <w:color w:val="191919" w:themeColor="background1" w:themeShade="1A"/>
          <w:sz w:val="28"/>
          <w:szCs w:val="28"/>
          <w:lang w:val="en-US" w:eastAsia="ru-RU"/>
        </w:rPr>
        <w:t> and used to rank a country’s environmental policies in different categories based on outcome-oriented indicators.</w:t>
      </w:r>
    </w:p>
    <w:p>
      <w:pPr>
        <w:shd w:val="clear" w:color="auto" w:fill="FFFFFF"/>
        <w:spacing w:after="0" w:line="240" w:lineRule="auto"/>
        <w:ind w:firstLine="708"/>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Though highly accessible to policymakers and scientists, EPIs are commonly criticized as only being of use with uniformly distributed data (i.e. data lacking observations on the extremes). Recognizing the limitations of these macro-level environmental indexes, this study uses “nonparametric frontiers” to analyze the influence of four cultural dimensions on the ecologic efficiency of 72 countries. These frontiers analyze broad relationships between given inputs and outputs that serve as proxies for some societal phenomenon: in this case, environmental performance based on pollution.</w:t>
      </w:r>
    </w:p>
    <w:p>
      <w:pPr>
        <w:shd w:val="clear" w:color="auto" w:fill="FFFFFF"/>
        <w:spacing w:after="0" w:line="240" w:lineRule="auto"/>
        <w:ind w:firstLine="708"/>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 authors examine the relationship between emissions of two major greenhouse gases (carbon dioxide and sulfur dioxide) and four of the most widely recognized facets of culture: masculinity versus femininity, power distance, individualism versus collectivism, and uncertainty avoidance. In the study, a masculine society is defined as one that dominantly values material success and progress, while a feminine society prioritizes modesty and caring for others. Power distance represents views on inequality: high power distance translates to the belief that the powerful have privileges and may inherit their position by way of force; low power distance societies believe power should be distributed equally. Collectivist societies value group interests over individual interests and allow for the state to play a large role in the economic system, while individualist societies expect their members to look after themselves. Lastly, uncertainty avoidance signifies the degree of societal tolerance for unknown situations. High avoidance societies fight uncertainty with many precise laws and rules and generally repress citizen protest.</w:t>
      </w:r>
    </w:p>
    <w:p>
      <w:pPr>
        <w:shd w:val="clear" w:color="auto" w:fill="FFFFFF"/>
        <w:spacing w:after="0" w:line="240" w:lineRule="auto"/>
        <w:ind w:firstLine="708"/>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The study uses a performance measure framework in which countries’ per capita emissions are fed as inputs and in which GDP per capita data is used as outputs. The authors are then able to examine the ratio of economic value created to emissions created and define this as a country’s eco-efficiency. Once countries are given eco-efficiency scores, these scores are correlated to the four cultural factors. Countries’ efficiency scores are compared to ten other countries randomly selected from those with equal or greater emissions output. An additional variable is used to describe the effect of a country’s greenhouse gas production on environmental valuation, placing value on a pollutant-free environment. This allows the authors to confidently draw relationships between the input/output data and the four cultural dimensions. An increasing regression line is evidence of a favorable cultural effect on a country’s eco-efficiency levels, while a decreasing regression line is evidence of the opposite.</w:t>
      </w:r>
    </w:p>
    <w:p>
      <w:pPr>
        <w:shd w:val="clear" w:color="auto" w:fill="FFFFFF"/>
        <w:spacing w:after="0" w:line="240" w:lineRule="auto"/>
        <w:ind w:firstLine="708"/>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Countries are deemed “eco-efficient” if they use as much or fewer pollutants than countries with equal or higher GDP per capita levels. Thirteen countries meet this designation: Australia, Bulgaria, Canada, the Czech Republic, Iran, Ireland, Kuwait, Luxembourg, Poland, Romania, Saudi Arabia, the UK, and the United States. Noting that eco-efficient countries like Kuwait and Austria have the highest levels of fluctuation between cultural factors, it is apparent that not all cultural variables affect countries uniformly.</w:t>
      </w:r>
    </w:p>
    <w:p>
      <w:pPr>
        <w:shd w:val="clear" w:color="auto" w:fill="FFFFFF"/>
        <w:spacing w:after="0" w:line="240" w:lineRule="auto"/>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i/>
          <w:iCs/>
          <w:color w:val="191919" w:themeColor="background1" w:themeShade="1A"/>
          <w:sz w:val="28"/>
          <w:szCs w:val="28"/>
          <w:lang w:val="en-US" w:eastAsia="ru-RU"/>
        </w:rPr>
        <w:t>Power distance and individualism exert the strongest forces</w:t>
      </w:r>
    </w:p>
    <w:p>
      <w:pPr>
        <w:shd w:val="clear" w:color="auto" w:fill="FFFFFF"/>
        <w:spacing w:after="0" w:line="240" w:lineRule="auto"/>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With the exception of masculinity/femininity, each factor has a statistically significant effect on environmental performance metrics. While it was hypothesized that feminine societies would display high eco-efficiency scores due to a strong community identity and attentiveness, masculinity and femininity actually were of least consequence in performance metrics. Power distance and individualism exert the strongest forces. While the authors had hypothesized that the groupthink mentality of collectivist countries would encourage eco-efficiency, it was found, rather, that individualistic countries prevailed, perhaps by imbuing in their citizens a greater sense of duty and self-empowerment. In these societies, there is a greater tendency toward environmentally conscious behavior, while most low eco-efficiency countries are characterized by collectivist notions and a dominant government role. Low eco-efficiency is also strongly correlated with high uncertainty avoidance. As the relationship between uncertainty avoidance and environmental attitudes has not been previously well understood, however, the authors avoid hypothesizing any strong causal connection between the observations. They do make it a point to note, however, that even between countries with similar levels of ecologic efficiency, one can see a great disparity in cultural attitudes and values.</w:t>
      </w:r>
    </w:p>
    <w:p>
      <w:pPr>
        <w:shd w:val="clear" w:color="auto" w:fill="FFFFFF"/>
        <w:spacing w:after="0" w:line="240" w:lineRule="auto"/>
        <w:ind w:firstLine="708"/>
        <w:jc w:val="both"/>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Many metrics exist to measure and regulate behavior that negatively impacts the environment, but perhaps the most important factors of human behavior are our own cultural attitudes. This factor is difficult to quantify rigorously, but the authors have shown how cultural attitudes may be directly related to a country’s overall ecological efficiency. Understanding this relationship could be a very useful tool in the ongoing effort to curb practices that are unnecessarily damaging to the environment.</w:t>
      </w:r>
    </w:p>
    <w:p>
      <w:pPr>
        <w:pStyle w:val="38"/>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The social-ecological approach suggests that improvement in home care outcomes will depend on adequate recognition of the role of culture, family and social relationships, and communities in the delivery of care. Interest in the first and second areas is long-standing. Attention to community factors and linkages across levels is more recent, and research in this area is much less developed. I conclude with a series of recommendations derived from the social-ecological approach, as well as a series of hypotheses suggested by this inquiry.</w:t>
      </w:r>
    </w:p>
    <w:p>
      <w:pPr>
        <w:pStyle w:val="38"/>
        <w:spacing w:before="0" w:beforeAutospacing="0" w:after="0" w:afterAutospacing="0"/>
        <w:jc w:val="both"/>
        <w:rPr>
          <w:color w:val="191919" w:themeColor="background1" w:themeShade="1A"/>
          <w:sz w:val="28"/>
          <w:szCs w:val="28"/>
          <w:lang w:val="en-US"/>
        </w:rPr>
      </w:pPr>
      <w:bookmarkStart w:id="2" w:name="p2001be149970264002"/>
      <w:bookmarkEnd w:id="2"/>
      <w:r>
        <w:rPr>
          <w:color w:val="191919" w:themeColor="background1" w:themeShade="1A"/>
          <w:sz w:val="28"/>
          <w:szCs w:val="28"/>
          <w:lang w:val="en-US"/>
        </w:rPr>
        <w:t>A first need is better tools for the assessment of cultural expectations for home care and psychosocial preferences for care delivery. Transcultural nursing has taken the lead in developing methodologies for assessing cultural differences among patients as well as the receptivity of health care providers to these differences (Narayan, 1997; Davidhizar and Bechtel, 1998; Heineken and McCoy, 2000). These approaches recognize the necessity of seeing the world through a patient’s eyes and point out the need for “cultural synergy” between nurse and patient, that is, mutual recognition of different cultures in the service of care.</w:t>
      </w:r>
    </w:p>
    <w:p>
      <w:pPr>
        <w:pStyle w:val="39"/>
        <w:spacing w:before="0" w:beforeAutospacing="0" w:after="0" w:afterAutospacing="0"/>
        <w:ind w:firstLine="240"/>
        <w:jc w:val="both"/>
        <w:rPr>
          <w:color w:val="191919" w:themeColor="background1" w:themeShade="1A"/>
          <w:sz w:val="28"/>
          <w:szCs w:val="28"/>
          <w:lang w:val="en-US"/>
        </w:rPr>
      </w:pPr>
      <w:r>
        <w:rPr>
          <w:color w:val="191919" w:themeColor="background1" w:themeShade="1A"/>
          <w:sz w:val="28"/>
          <w:szCs w:val="28"/>
          <w:lang w:val="en-US"/>
        </w:rPr>
        <w:t>Campinha-Bacote (2002) has developed a screening instrument for the assessment of cultural competence in nursing. This approach includes three key elements: cultural awareness (“Am I aware of my personal biases and prejudices towards cultural groups different than mine?”), cultural skill (“Do I have the skill to conduct a cultural assessment in a culturally sensitive manner?”), and cultural knowledge (“Do I have knowledge of the client’s worldview?”). As an example of the utility of this approach, Campinha-Bacote notes that hypertension treatment may have a very different meaning among African American elderly, for whom hypertension implies emotional pressure or tension and not just a stiffening of arterial walls. Explanations to patients must take these different understandings into account if patients are to adhere to medication regimens and adopt lifestyle prescriptions.</w:t>
      </w:r>
    </w:p>
    <w:p>
      <w:pPr>
        <w:pStyle w:val="38"/>
        <w:spacing w:before="0" w:beforeAutospacing="0" w:after="0" w:afterAutospacing="0"/>
        <w:jc w:val="both"/>
        <w:rPr>
          <w:color w:val="191919" w:themeColor="background1" w:themeShade="1A"/>
          <w:sz w:val="28"/>
          <w:szCs w:val="28"/>
          <w:lang w:val="en-US"/>
        </w:rPr>
      </w:pPr>
      <w:r>
        <w:rPr>
          <w:color w:val="191919" w:themeColor="background1" w:themeShade="1A"/>
          <w:sz w:val="28"/>
          <w:szCs w:val="28"/>
          <w:lang w:val="en-US"/>
        </w:rPr>
        <w:tab/>
      </w:r>
      <w:r>
        <w:rPr>
          <w:color w:val="191919" w:themeColor="background1" w:themeShade="1A"/>
          <w:sz w:val="28"/>
          <w:szCs w:val="28"/>
          <w:lang w:val="en-US"/>
        </w:rPr>
        <w:t>The challenge of crossing cultural boundaries obviously becomes more difficult when home care personnel and patients do not speak the same language. Family or other translators become critical. My research with home care in New York City suggests that differences in language are quite common - not surprising when one notes that New York City’s fastest growing populations include Mandarin, Russian, and Spanish speakers. One home health care agency director suggested that 80 percent of her agency’s clients and home attendants differed in culture. The agency had to develop guidelines for cases in which clients and home care workers do not speak the same language or share a common culture. As one home attendant stated, “You go into their homes. You have to learn to cook their food, their way. We are all from different cultures. You have to learn to respect different things.” These home attendants reported that the best way to cross cultures was to try to learn key words from a different language. This in itself becomes a bond between clients and workers and a bridge across cultures.</w:t>
      </w:r>
    </w:p>
    <w:p>
      <w:pPr>
        <w:pStyle w:val="39"/>
        <w:spacing w:before="0" w:beforeAutospacing="0" w:after="0" w:afterAutospacing="0"/>
        <w:ind w:firstLine="708"/>
        <w:jc w:val="both"/>
        <w:rPr>
          <w:color w:val="191919" w:themeColor="background1" w:themeShade="1A"/>
          <w:sz w:val="28"/>
          <w:szCs w:val="28"/>
          <w:lang w:val="en-US"/>
        </w:rPr>
      </w:pPr>
      <w:r>
        <w:rPr>
          <w:color w:val="191919" w:themeColor="background1" w:themeShade="1A"/>
          <w:sz w:val="28"/>
          <w:szCs w:val="28"/>
          <w:lang w:val="en-US"/>
        </w:rPr>
        <w:t>Despite the concern for cultural competence and its assessment, it is difficult to identify studies that examine the relationship between cultural competence and home care outcomes. One would expect a host of better outcomes to follow from culturally sensitive home care: for example, greater adherence to medication, quicker returns to function, greater consumer satisfaction, and lower rates of rehospitalization. But at this point empirical data are unavailable. A recent systematic review of home nursing interventions is notable for the absence of any cultural variables in assessing home care outcomes (Liebel et al., 2009).</w:t>
      </w:r>
    </w:p>
    <w:p>
      <w:pPr>
        <w:pStyle w:val="38"/>
        <w:spacing w:before="0" w:beforeAutospacing="0" w:after="0" w:afterAutospacing="0"/>
        <w:ind w:firstLine="708"/>
        <w:jc w:val="both"/>
        <w:rPr>
          <w:color w:val="191919" w:themeColor="background1" w:themeShade="1A"/>
          <w:sz w:val="28"/>
          <w:szCs w:val="28"/>
          <w:lang w:val="en-US"/>
        </w:rPr>
      </w:pPr>
      <w:bookmarkStart w:id="3" w:name="p2001be149970265001"/>
      <w:bookmarkEnd w:id="3"/>
      <w:r>
        <w:rPr>
          <w:color w:val="191919" w:themeColor="background1" w:themeShade="1A"/>
          <w:sz w:val="28"/>
          <w:szCs w:val="28"/>
          <w:lang w:val="en-US"/>
        </w:rPr>
        <w:t>A second need suggested by the social-ecological approach is investigation of better ways to include families in home care. As indicated earlier, the bedrock of home- and community-based services is family care (Levine et al., 2006). Studies of the actual work of family caregivers, how these tasks relate to “formal” or paid care, and the impact of such tasks on caregivers’ own lives are critical for understanding the kinds of services that will be needed to allow patients with extensive needs to remain in their homes. Yet despite extensive research on family care giving, it is surprising how little research examines interactions between families and home care providers. Since the combination of family and paid formal care is increasingly common (and modal in service-rich urban areas, such as New York City), this gap is doubly surprising. Also, the challenges of agency handoffs to families, as when home health care coverage ends (and cases are closed), remain mostly unexplored. Few studies follow family caregivers through the process of beginning and ending formal home care or training and continued recalibration of home medical technologies.</w:t>
      </w:r>
    </w:p>
    <w:p>
      <w:pPr>
        <w:spacing w:after="0" w:line="240" w:lineRule="auto"/>
        <w:jc w:val="center"/>
        <w:textAlignment w:val="baseline"/>
        <w:rPr>
          <w:rFonts w:ascii="Times New Roman" w:hAnsi="Times New Roman" w:eastAsia="Times New Roman"/>
          <w:color w:val="191919" w:themeColor="background1" w:themeShade="1A"/>
          <w:sz w:val="28"/>
          <w:szCs w:val="28"/>
          <w:lang w:val="en-US" w:eastAsia="ru-RU"/>
        </w:rPr>
      </w:pPr>
    </w:p>
    <w:p>
      <w:pPr>
        <w:spacing w:after="0" w:line="240" w:lineRule="auto"/>
        <w:jc w:val="center"/>
        <w:textAlignment w:val="baseline"/>
        <w:rPr>
          <w:rFonts w:ascii="Times New Roman" w:hAnsi="Times New Roman" w:eastAsia="Times New Roman"/>
          <w:color w:val="191919" w:themeColor="background1" w:themeShade="1A"/>
          <w:sz w:val="28"/>
          <w:szCs w:val="28"/>
          <w:lang w:val="en-US" w:eastAsia="ru-RU"/>
        </w:rPr>
      </w:pPr>
      <w:r>
        <w:rPr>
          <w:rFonts w:ascii="Times New Roman" w:hAnsi="Times New Roman" w:eastAsia="Times New Roman"/>
          <w:color w:val="191919" w:themeColor="background1" w:themeShade="1A"/>
          <w:sz w:val="28"/>
          <w:szCs w:val="28"/>
          <w:lang w:val="en-US" w:eastAsia="ru-RU"/>
        </w:rPr>
        <w:t>Questions:</w:t>
      </w:r>
    </w:p>
    <w:p>
      <w:pPr>
        <w:pStyle w:val="19"/>
        <w:jc w:val="both"/>
        <w:rPr>
          <w:color w:val="191919" w:themeColor="background1" w:themeShade="1A"/>
          <w:sz w:val="28"/>
          <w:szCs w:val="28"/>
          <w:lang w:val="en-US"/>
        </w:rPr>
      </w:pPr>
      <w:r>
        <w:rPr>
          <w:color w:val="191919" w:themeColor="background1" w:themeShade="1A"/>
          <w:sz w:val="28"/>
          <w:szCs w:val="28"/>
          <w:lang w:val="en-US"/>
        </w:rPr>
        <w:t>What does mean the Ozone layer? How is influence on the economy of the countries?</w:t>
      </w:r>
    </w:p>
    <w:p>
      <w:pPr>
        <w:pStyle w:val="19"/>
        <w:jc w:val="both"/>
        <w:rPr>
          <w:color w:val="191919" w:themeColor="background1" w:themeShade="1A"/>
          <w:sz w:val="28"/>
          <w:szCs w:val="28"/>
          <w:lang w:val="en-US"/>
        </w:rPr>
      </w:pPr>
      <w:r>
        <w:rPr>
          <w:color w:val="191919" w:themeColor="background1" w:themeShade="1A"/>
          <w:sz w:val="28"/>
          <w:szCs w:val="28"/>
          <w:lang w:val="en-US"/>
        </w:rPr>
        <w:t>What does mean the Global warming? How is influence on the economy of the countries?</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How can you explain Ecology – a global public good?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What does mean the Global Education?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How can you explain that Sports as part of the global economy? </w:t>
      </w:r>
    </w:p>
    <w:p>
      <w:pPr>
        <w:pStyle w:val="19"/>
        <w:jc w:val="both"/>
        <w:rPr>
          <w:color w:val="191919" w:themeColor="background1" w:themeShade="1A"/>
          <w:sz w:val="28"/>
          <w:szCs w:val="28"/>
          <w:lang w:val="en-US"/>
        </w:rPr>
      </w:pPr>
      <w:r>
        <w:rPr>
          <w:color w:val="191919" w:themeColor="background1" w:themeShade="1A"/>
          <w:sz w:val="28"/>
          <w:szCs w:val="28"/>
          <w:lang w:val="en-US"/>
        </w:rPr>
        <w:t xml:space="preserve"> </w:t>
      </w:r>
    </w:p>
    <w:p>
      <w:pPr>
        <w:spacing w:after="0" w:line="240" w:lineRule="auto"/>
        <w:jc w:val="center"/>
        <w:textAlignment w:val="baseline"/>
        <w:rPr>
          <w:rFonts w:ascii="Times New Roman" w:hAnsi="Times New Roman" w:eastAsia="Times New Roman"/>
          <w:color w:val="191919" w:themeColor="background1" w:themeShade="1A"/>
          <w:sz w:val="28"/>
          <w:szCs w:val="28"/>
          <w:lang w:val="en-US" w:eastAsia="ru-RU"/>
        </w:rPr>
      </w:pPr>
    </w:p>
    <w:p>
      <w:pPr>
        <w:pStyle w:val="40"/>
        <w:spacing w:before="0" w:beforeAutospacing="0" w:after="0" w:afterAutospacing="0"/>
        <w:ind w:left="240" w:hanging="240"/>
        <w:jc w:val="center"/>
        <w:rPr>
          <w:color w:val="191919" w:themeColor="background1" w:themeShade="1A"/>
          <w:sz w:val="28"/>
          <w:szCs w:val="28"/>
          <w:lang w:val="en-US"/>
        </w:rPr>
      </w:pPr>
      <w:bookmarkStart w:id="4" w:name="p2001be149970270002"/>
      <w:bookmarkEnd w:id="4"/>
      <w:bookmarkStart w:id="5" w:name="p2001be148990270001"/>
      <w:bookmarkEnd w:id="5"/>
      <w:bookmarkStart w:id="6" w:name="p2001be148990270005"/>
      <w:bookmarkEnd w:id="6"/>
      <w:r>
        <w:rPr>
          <w:color w:val="191919" w:themeColor="background1" w:themeShade="1A"/>
          <w:sz w:val="28"/>
          <w:szCs w:val="28"/>
          <w:lang w:val="en-US"/>
        </w:rPr>
        <w:t>References:</w:t>
      </w:r>
    </w:p>
    <w:p>
      <w:pPr>
        <w:pStyle w:val="40"/>
        <w:numPr>
          <w:ilvl w:val="0"/>
          <w:numId w:val="49"/>
        </w:numPr>
        <w:spacing w:before="0" w:beforeAutospacing="0" w:after="0" w:afterAutospacing="0"/>
        <w:ind w:left="0" w:firstLine="0"/>
        <w:jc w:val="both"/>
        <w:rPr>
          <w:color w:val="191919" w:themeColor="background1" w:themeShade="1A"/>
          <w:sz w:val="28"/>
          <w:szCs w:val="28"/>
          <w:lang w:val="en-US"/>
        </w:rPr>
      </w:pPr>
      <w:r>
        <w:rPr>
          <w:color w:val="191919" w:themeColor="background1" w:themeShade="1A"/>
          <w:sz w:val="28"/>
          <w:szCs w:val="28"/>
          <w:lang w:val="en-US"/>
        </w:rPr>
        <w:t>Albert, S.M., and Freedman, V.A. (2016). </w:t>
      </w:r>
      <w:r>
        <w:rPr>
          <w:rStyle w:val="12"/>
          <w:color w:val="191919" w:themeColor="background1" w:themeShade="1A"/>
          <w:sz w:val="28"/>
          <w:szCs w:val="28"/>
          <w:lang w:val="en-US"/>
        </w:rPr>
        <w:t>Public health and aging: An introduction to maximizing function and well-being</w:t>
      </w:r>
      <w:r>
        <w:rPr>
          <w:color w:val="191919" w:themeColor="background1" w:themeShade="1A"/>
          <w:sz w:val="28"/>
          <w:szCs w:val="28"/>
          <w:lang w:val="en-US"/>
        </w:rPr>
        <w:t>. New York: Springer.</w:t>
      </w:r>
    </w:p>
    <w:p>
      <w:pPr>
        <w:pStyle w:val="40"/>
        <w:numPr>
          <w:ilvl w:val="0"/>
          <w:numId w:val="49"/>
        </w:numPr>
        <w:spacing w:before="0" w:beforeAutospacing="0" w:after="0" w:afterAutospacing="0"/>
        <w:ind w:left="0" w:firstLine="0"/>
        <w:jc w:val="both"/>
        <w:rPr>
          <w:color w:val="191919" w:themeColor="background1" w:themeShade="1A"/>
          <w:sz w:val="28"/>
          <w:szCs w:val="28"/>
          <w:lang w:val="en-US"/>
        </w:rPr>
      </w:pPr>
      <w:bookmarkStart w:id="7" w:name="p2001be148990270006"/>
      <w:bookmarkEnd w:id="7"/>
      <w:bookmarkStart w:id="8" w:name="p2001be148990270009"/>
      <w:bookmarkEnd w:id="8"/>
      <w:r>
        <w:rPr>
          <w:color w:val="191919" w:themeColor="background1" w:themeShade="1A"/>
          <w:sz w:val="28"/>
          <w:szCs w:val="28"/>
          <w:lang w:val="en-US"/>
        </w:rPr>
        <w:t>Austin, C.D., McClelland, R.W., and Gursansky, D. (2016). Linking case management and community development. </w:t>
      </w:r>
      <w:r>
        <w:rPr>
          <w:rStyle w:val="12"/>
          <w:color w:val="191919" w:themeColor="background1" w:themeShade="1A"/>
          <w:sz w:val="28"/>
          <w:szCs w:val="28"/>
          <w:lang w:val="en-US"/>
        </w:rPr>
        <w:t>Care Management Journal, 7,</w:t>
      </w:r>
      <w:r>
        <w:rPr>
          <w:color w:val="191919" w:themeColor="background1" w:themeShade="1A"/>
          <w:sz w:val="28"/>
          <w:szCs w:val="28"/>
          <w:lang w:val="en-US"/>
        </w:rPr>
        <w:t>162-168</w:t>
      </w:r>
      <w:r>
        <w:rPr>
          <w:rStyle w:val="12"/>
          <w:color w:val="191919" w:themeColor="background1" w:themeShade="1A"/>
          <w:sz w:val="28"/>
          <w:szCs w:val="28"/>
          <w:lang w:val="en-US"/>
        </w:rPr>
        <w:t>.</w:t>
      </w:r>
    </w:p>
    <w:p>
      <w:pPr>
        <w:pStyle w:val="40"/>
        <w:numPr>
          <w:ilvl w:val="0"/>
          <w:numId w:val="49"/>
        </w:numPr>
        <w:spacing w:before="0" w:beforeAutospacing="0" w:after="0" w:afterAutospacing="0"/>
        <w:ind w:left="0" w:firstLine="0"/>
        <w:jc w:val="both"/>
        <w:rPr>
          <w:color w:val="191919" w:themeColor="background1" w:themeShade="1A"/>
          <w:sz w:val="28"/>
          <w:szCs w:val="28"/>
          <w:lang w:val="en-US"/>
        </w:rPr>
      </w:pPr>
      <w:bookmarkStart w:id="9" w:name="p2001be148990270010"/>
      <w:bookmarkEnd w:id="9"/>
      <w:bookmarkStart w:id="10" w:name="p2001be148990270012"/>
      <w:bookmarkEnd w:id="10"/>
      <w:r>
        <w:rPr>
          <w:color w:val="191919" w:themeColor="background1" w:themeShade="1A"/>
          <w:sz w:val="28"/>
          <w:szCs w:val="28"/>
          <w:lang w:val="en-US"/>
        </w:rPr>
        <w:t>Bronfenbrenner, U. (2017). </w:t>
      </w:r>
      <w:r>
        <w:rPr>
          <w:rStyle w:val="12"/>
          <w:color w:val="191919" w:themeColor="background1" w:themeShade="1A"/>
          <w:sz w:val="28"/>
          <w:szCs w:val="28"/>
          <w:lang w:val="en-US"/>
        </w:rPr>
        <w:t>The ecology of human development</w:t>
      </w:r>
      <w:r>
        <w:rPr>
          <w:color w:val="191919" w:themeColor="background1" w:themeShade="1A"/>
          <w:sz w:val="28"/>
          <w:szCs w:val="28"/>
          <w:lang w:val="en-US"/>
        </w:rPr>
        <w:t>. Cambridge, MA: Harvard University Press.</w:t>
      </w:r>
    </w:p>
    <w:p>
      <w:pPr>
        <w:pStyle w:val="40"/>
        <w:numPr>
          <w:ilvl w:val="0"/>
          <w:numId w:val="49"/>
        </w:numPr>
        <w:spacing w:before="0" w:beforeAutospacing="0" w:after="0" w:afterAutospacing="0"/>
        <w:ind w:left="0" w:firstLine="0"/>
        <w:jc w:val="both"/>
        <w:rPr>
          <w:color w:val="191919" w:themeColor="background1" w:themeShade="1A"/>
          <w:sz w:val="28"/>
          <w:szCs w:val="28"/>
          <w:lang w:val="en-US"/>
        </w:rPr>
      </w:pPr>
      <w:bookmarkStart w:id="11" w:name="p2001be148990271003"/>
      <w:bookmarkEnd w:id="11"/>
      <w:r>
        <w:rPr>
          <w:color w:val="191919" w:themeColor="background1" w:themeShade="1A"/>
          <w:sz w:val="28"/>
          <w:szCs w:val="28"/>
          <w:lang w:val="en-US"/>
        </w:rPr>
        <w:t>Clark, M. (2015). Cultural values and dependency in later life. In D.O. Cowgill and L.D. Holmes (Eds.), </w:t>
      </w:r>
      <w:r>
        <w:rPr>
          <w:rStyle w:val="12"/>
          <w:color w:val="191919" w:themeColor="background1" w:themeShade="1A"/>
          <w:sz w:val="28"/>
          <w:szCs w:val="28"/>
          <w:lang w:val="en-US"/>
        </w:rPr>
        <w:t>Aging and modernization</w:t>
      </w:r>
      <w:r>
        <w:rPr>
          <w:color w:val="191919" w:themeColor="background1" w:themeShade="1A"/>
          <w:sz w:val="28"/>
          <w:szCs w:val="28"/>
          <w:lang w:val="en-US"/>
        </w:rPr>
        <w:t> (pp. 263-274). New York: Appleton-Century-Crofts.</w:t>
      </w:r>
    </w:p>
    <w:p>
      <w:pPr>
        <w:pStyle w:val="40"/>
        <w:numPr>
          <w:ilvl w:val="0"/>
          <w:numId w:val="49"/>
        </w:numPr>
        <w:spacing w:before="0" w:beforeAutospacing="0" w:after="0" w:afterAutospacing="0"/>
        <w:ind w:left="0" w:firstLine="0"/>
        <w:jc w:val="both"/>
        <w:rPr>
          <w:color w:val="191919" w:themeColor="background1" w:themeShade="1A"/>
          <w:sz w:val="28"/>
          <w:szCs w:val="28"/>
          <w:lang w:val="en-US"/>
        </w:rPr>
      </w:pPr>
      <w:bookmarkStart w:id="12" w:name="p2001be148990271004"/>
      <w:bookmarkEnd w:id="12"/>
      <w:bookmarkStart w:id="13" w:name="p2001be148990271007"/>
      <w:bookmarkEnd w:id="13"/>
      <w:bookmarkStart w:id="14" w:name="p2001be148990271008"/>
      <w:bookmarkEnd w:id="14"/>
      <w:bookmarkStart w:id="15" w:name="p2001be148990271013"/>
      <w:bookmarkEnd w:id="15"/>
      <w:bookmarkStart w:id="16" w:name="p2001be148990271018"/>
      <w:bookmarkEnd w:id="16"/>
      <w:r>
        <w:rPr>
          <w:color w:val="191919" w:themeColor="background1" w:themeShade="1A"/>
          <w:sz w:val="28"/>
          <w:szCs w:val="28"/>
          <w:lang w:val="en-US"/>
        </w:rPr>
        <w:t>Gitlin, L.N. (2016). Conducting research on home environments: Lessons learned and new directions. </w:t>
      </w:r>
      <w:r>
        <w:rPr>
          <w:rStyle w:val="12"/>
          <w:color w:val="191919" w:themeColor="background1" w:themeShade="1A"/>
          <w:sz w:val="28"/>
          <w:szCs w:val="28"/>
          <w:lang w:val="en-US"/>
        </w:rPr>
        <w:t>Gerontologist, 43</w:t>
      </w:r>
      <w:r>
        <w:rPr>
          <w:color w:val="191919" w:themeColor="background1" w:themeShade="1A"/>
          <w:sz w:val="28"/>
          <w:szCs w:val="28"/>
          <w:lang w:val="en-US"/>
        </w:rPr>
        <w:t>, 628-637.</w:t>
      </w:r>
    </w:p>
    <w:p>
      <w:pPr>
        <w:pStyle w:val="40"/>
        <w:numPr>
          <w:ilvl w:val="0"/>
          <w:numId w:val="49"/>
        </w:numPr>
        <w:spacing w:before="0" w:beforeAutospacing="0" w:after="0" w:afterAutospacing="0"/>
        <w:ind w:left="0" w:firstLine="0"/>
        <w:jc w:val="both"/>
        <w:rPr>
          <w:color w:val="191919" w:themeColor="background1" w:themeShade="1A"/>
          <w:sz w:val="28"/>
          <w:szCs w:val="28"/>
          <w:lang w:val="en-US"/>
        </w:rPr>
      </w:pPr>
      <w:bookmarkStart w:id="17" w:name="p2001be148990271019"/>
      <w:bookmarkEnd w:id="17"/>
      <w:r>
        <w:rPr>
          <w:color w:val="191919" w:themeColor="background1" w:themeShade="1A"/>
          <w:sz w:val="28"/>
          <w:szCs w:val="28"/>
          <w:lang w:val="en-US"/>
        </w:rPr>
        <w:t>Golant, S.M. (2016). Commentary: Irrational exuberance for the aging in place of vulnerable low-income older homeowners. </w:t>
      </w:r>
      <w:r>
        <w:rPr>
          <w:rStyle w:val="12"/>
          <w:color w:val="191919" w:themeColor="background1" w:themeShade="1A"/>
          <w:sz w:val="28"/>
          <w:szCs w:val="28"/>
          <w:lang w:val="en-US"/>
        </w:rPr>
        <w:t>Journal of Aging and Social Policy</w:t>
      </w:r>
      <w:r>
        <w:rPr>
          <w:color w:val="191919" w:themeColor="background1" w:themeShade="1A"/>
          <w:sz w:val="28"/>
          <w:szCs w:val="28"/>
          <w:lang w:val="en-US"/>
        </w:rPr>
        <w:t>, </w:t>
      </w:r>
      <w:r>
        <w:rPr>
          <w:rStyle w:val="12"/>
          <w:color w:val="191919" w:themeColor="background1" w:themeShade="1A"/>
          <w:sz w:val="28"/>
          <w:szCs w:val="28"/>
          <w:lang w:val="en-US"/>
        </w:rPr>
        <w:t>20,</w:t>
      </w:r>
      <w:r>
        <w:rPr>
          <w:color w:val="191919" w:themeColor="background1" w:themeShade="1A"/>
          <w:sz w:val="28"/>
          <w:szCs w:val="28"/>
          <w:lang w:val="en-US"/>
        </w:rPr>
        <w:t> 379-397.</w:t>
      </w:r>
    </w:p>
    <w:p>
      <w:pPr>
        <w:rPr>
          <w:color w:val="191919" w:themeColor="background1" w:themeShade="1A"/>
        </w:rPr>
      </w:pPr>
    </w:p>
    <w:p>
      <w:pPr>
        <w:pStyle w:val="19"/>
        <w:jc w:val="both"/>
        <w:rPr>
          <w:color w:val="191919" w:themeColor="background1" w:themeShade="1A"/>
          <w:sz w:val="28"/>
          <w:szCs w:val="28"/>
          <w:lang w:val="en-US"/>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r>
        <w:rPr>
          <w:rFonts w:ascii="Times New Roman" w:hAnsi="Times New Roman" w:cs="Times New Roman"/>
          <w:color w:val="191919" w:themeColor="background1" w:themeShade="1A"/>
          <w:sz w:val="28"/>
          <w:szCs w:val="28"/>
          <w:lang w:val="en-US" w:eastAsia="ko-KR"/>
        </w:rPr>
        <w:t>Yesbolova A.Y., Tulemetova A.S.</w:t>
      </w: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both"/>
        <w:rPr>
          <w:rFonts w:ascii="Times New Roman" w:hAnsi="Times New Roman" w:cs="Times New Roman"/>
          <w:color w:val="191919" w:themeColor="background1" w:themeShade="1A"/>
          <w:sz w:val="28"/>
          <w:szCs w:val="28"/>
          <w:lang w:val="en-US" w:eastAsia="ko-KR"/>
        </w:rPr>
      </w:pPr>
    </w:p>
    <w:p>
      <w:pPr>
        <w:spacing w:after="0" w:line="240" w:lineRule="auto"/>
        <w:jc w:val="both"/>
        <w:rPr>
          <w:rFonts w:ascii="Times New Roman" w:hAnsi="Times New Roman" w:cs="Times New Roman"/>
          <w:b/>
          <w:color w:val="191919" w:themeColor="background1" w:themeShade="1A"/>
          <w:sz w:val="28"/>
          <w:szCs w:val="28"/>
          <w:lang w:val="en-US" w:eastAsia="ko-KR"/>
        </w:rPr>
      </w:pPr>
    </w:p>
    <w:p>
      <w:pPr>
        <w:spacing w:after="0" w:line="240" w:lineRule="auto"/>
        <w:jc w:val="both"/>
        <w:rPr>
          <w:rFonts w:ascii="Times New Roman" w:hAnsi="Times New Roman" w:cs="Times New Roman"/>
          <w:b/>
          <w:color w:val="191919" w:themeColor="background1" w:themeShade="1A"/>
          <w:sz w:val="28"/>
          <w:szCs w:val="28"/>
          <w:lang w:val="en-US" w:eastAsia="ko-KR"/>
        </w:rPr>
      </w:pPr>
    </w:p>
    <w:p>
      <w:pPr>
        <w:spacing w:after="0" w:line="240" w:lineRule="auto"/>
        <w:jc w:val="both"/>
        <w:rPr>
          <w:rFonts w:ascii="Times New Roman" w:hAnsi="Times New Roman" w:cs="Times New Roman"/>
          <w:b/>
          <w:color w:val="191919" w:themeColor="background1" w:themeShade="1A"/>
          <w:sz w:val="28"/>
          <w:szCs w:val="28"/>
          <w:lang w:val="en-US" w:eastAsia="ko-KR"/>
        </w:rPr>
      </w:pPr>
    </w:p>
    <w:p>
      <w:pPr>
        <w:shd w:val="clear" w:color="auto" w:fill="FFFFFF"/>
        <w:spacing w:after="0" w:line="240" w:lineRule="auto"/>
        <w:ind w:firstLine="709"/>
        <w:jc w:val="center"/>
        <w:rPr>
          <w:rFonts w:ascii="Times New Roman" w:hAnsi="Times New Roman" w:eastAsia="SimSu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eastAsia="ko-KR"/>
        </w:rPr>
        <w:t>Thesis of lectures</w:t>
      </w:r>
    </w:p>
    <w:p>
      <w:pPr>
        <w:shd w:val="clear" w:color="auto" w:fill="FFFFFF"/>
        <w:spacing w:after="0" w:line="240" w:lineRule="auto"/>
        <w:ind w:firstLine="709"/>
        <w:jc w:val="center"/>
        <w:rPr>
          <w:rFonts w:ascii="Times New Roman" w:hAnsi="Times New Roman" w:eastAsia="SimSun" w:cs="Times New Roman"/>
          <w:color w:val="191919" w:themeColor="background1" w:themeShade="1A"/>
          <w:sz w:val="28"/>
          <w:szCs w:val="28"/>
          <w:lang w:val="en-US"/>
        </w:rPr>
      </w:pPr>
      <w:r>
        <w:rPr>
          <w:rFonts w:ascii="Times New Roman" w:hAnsi="Times New Roman" w:eastAsia="SimSun" w:cs="Times New Roman"/>
          <w:color w:val="191919" w:themeColor="background1" w:themeShade="1A"/>
          <w:sz w:val="28"/>
          <w:szCs w:val="28"/>
          <w:lang w:val="en-US"/>
        </w:rPr>
        <w:t>on discipline «</w:t>
      </w:r>
      <w:r>
        <w:rPr>
          <w:rFonts w:ascii="Times New Roman" w:hAnsi="Times New Roman" w:cs="Times New Roman"/>
          <w:color w:val="191919" w:themeColor="background1" w:themeShade="1A"/>
          <w:sz w:val="28"/>
          <w:szCs w:val="28"/>
          <w:lang w:val="en-US"/>
        </w:rPr>
        <w:t>Global economy and economic policy of the firm</w:t>
      </w:r>
      <w:r>
        <w:rPr>
          <w:rFonts w:ascii="Times New Roman" w:hAnsi="Times New Roman" w:eastAsia="SimSun" w:cs="Times New Roman"/>
          <w:color w:val="191919" w:themeColor="background1" w:themeShade="1A"/>
          <w:sz w:val="28"/>
          <w:szCs w:val="28"/>
          <w:lang w:val="en-US"/>
        </w:rPr>
        <w:t xml:space="preserve">» </w:t>
      </w:r>
    </w:p>
    <w:p>
      <w:pPr>
        <w:shd w:val="clear" w:color="auto" w:fill="FFFFFF"/>
        <w:spacing w:after="0" w:line="240" w:lineRule="auto"/>
        <w:ind w:firstLine="709"/>
        <w:jc w:val="center"/>
        <w:rPr>
          <w:rFonts w:ascii="Times New Roman" w:hAnsi="Times New Roman" w:eastAsia="Calibri" w:cs="Times New Roman"/>
          <w:color w:val="191919" w:themeColor="background1" w:themeShade="1A"/>
          <w:sz w:val="28"/>
          <w:szCs w:val="28"/>
          <w:lang w:val="en-US"/>
        </w:rPr>
      </w:pPr>
      <w:r>
        <w:rPr>
          <w:rFonts w:ascii="Times New Roman" w:hAnsi="Times New Roman" w:eastAsia="Calibri" w:cs="Times New Roman"/>
          <w:color w:val="191919" w:themeColor="background1" w:themeShade="1A"/>
          <w:sz w:val="28"/>
          <w:szCs w:val="28"/>
          <w:lang w:val="en-US"/>
        </w:rPr>
        <w:t>for  speciality 6D050600 - Economy</w:t>
      </w: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eastAsia="ko-KR"/>
        </w:rPr>
      </w:pPr>
    </w:p>
    <w:p>
      <w:pPr>
        <w:spacing w:after="0" w:line="240" w:lineRule="auto"/>
        <w:jc w:val="center"/>
        <w:rPr>
          <w:rFonts w:ascii="Times New Roman" w:hAnsi="Times New Roman" w:cs="Times New Roman"/>
          <w:i/>
          <w:color w:val="191919" w:themeColor="background1" w:themeShade="1A"/>
          <w:sz w:val="28"/>
          <w:szCs w:val="28"/>
          <w:lang w:val="en-US" w:eastAsia="ko-KR"/>
        </w:rPr>
      </w:pPr>
    </w:p>
    <w:p>
      <w:pPr>
        <w:spacing w:after="0" w:line="240" w:lineRule="auto"/>
        <w:jc w:val="center"/>
        <w:rPr>
          <w:rFonts w:ascii="Times New Roman" w:hAnsi="Times New Roman" w:cs="Times New Roman"/>
          <w:i/>
          <w:color w:val="191919" w:themeColor="background1" w:themeShade="1A"/>
          <w:sz w:val="28"/>
          <w:szCs w:val="28"/>
          <w:lang w:val="en-US" w:eastAsia="ko-KR"/>
        </w:rPr>
      </w:pPr>
    </w:p>
    <w:p>
      <w:pPr>
        <w:spacing w:after="0" w:line="240" w:lineRule="auto"/>
        <w:jc w:val="center"/>
        <w:rPr>
          <w:rFonts w:ascii="Times New Roman" w:hAnsi="Times New Roman" w:cs="Times New Roman"/>
          <w:i/>
          <w:color w:val="191919" w:themeColor="background1" w:themeShade="1A"/>
          <w:sz w:val="28"/>
          <w:szCs w:val="28"/>
          <w:lang w:val="en-US" w:eastAsia="ko-KR"/>
        </w:rPr>
      </w:pPr>
    </w:p>
    <w:p>
      <w:pPr>
        <w:spacing w:after="0" w:line="240" w:lineRule="auto"/>
        <w:jc w:val="center"/>
        <w:rPr>
          <w:rFonts w:ascii="Times New Roman" w:hAnsi="Times New Roman" w:cs="Times New Roman"/>
          <w:i/>
          <w:color w:val="191919" w:themeColor="background1" w:themeShade="1A"/>
          <w:sz w:val="28"/>
          <w:szCs w:val="28"/>
          <w:lang w:val="en-US" w:eastAsia="ko-KR"/>
        </w:rPr>
      </w:pPr>
    </w:p>
    <w:p>
      <w:pPr>
        <w:spacing w:after="0" w:line="240" w:lineRule="auto"/>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Sign to the Press  __________________________</w:t>
      </w:r>
    </w:p>
    <w:p>
      <w:pPr>
        <w:spacing w:after="0" w:line="240" w:lineRule="auto"/>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(month, year)</w:t>
      </w:r>
    </w:p>
    <w:p>
      <w:pPr>
        <w:spacing w:after="0" w:line="240" w:lineRule="auto"/>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Paper format  X</w:t>
      </w:r>
      <w:r>
        <w:rPr>
          <w:rFonts w:ascii="Times New Roman" w:hAnsi="Times New Roman" w:cs="Times New Roman"/>
          <w:color w:val="191919" w:themeColor="background1" w:themeShade="1A"/>
          <w:sz w:val="28"/>
          <w:szCs w:val="28"/>
          <w:vertAlign w:val="superscript"/>
          <w:lang w:val="en-US"/>
        </w:rPr>
        <w:t>x</w:t>
      </w:r>
      <w:r>
        <w:rPr>
          <w:rFonts w:ascii="Times New Roman" w:hAnsi="Times New Roman" w:cs="Times New Roman"/>
          <w:color w:val="191919" w:themeColor="background1" w:themeShade="1A"/>
          <w:sz w:val="28"/>
          <w:szCs w:val="28"/>
          <w:lang w:val="en-US"/>
        </w:rPr>
        <w:t>Y  1/16</w:t>
      </w:r>
    </w:p>
    <w:p>
      <w:pPr>
        <w:spacing w:after="0" w:line="240" w:lineRule="auto"/>
        <w:jc w:val="center"/>
        <w:rPr>
          <w:rFonts w:ascii="Times New Roman" w:hAnsi="Times New Roman" w:cs="Times New Roman"/>
          <w:i/>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w:t>
      </w:r>
    </w:p>
    <w:p>
      <w:pPr>
        <w:spacing w:after="0" w:line="240" w:lineRule="auto"/>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Typographical paper. Offset printing. Volume 6,8 prinred page</w:t>
      </w:r>
    </w:p>
    <w:p>
      <w:pPr>
        <w:spacing w:after="0" w:line="240" w:lineRule="auto"/>
        <w:jc w:val="center"/>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Circulation … ….copy. Order No. … …*</w:t>
      </w:r>
    </w:p>
    <w:p>
      <w:pPr>
        <w:spacing w:after="0" w:line="240" w:lineRule="auto"/>
        <w:jc w:val="center"/>
        <w:rPr>
          <w:rFonts w:ascii="Times New Roman" w:hAnsi="Times New Roman" w:cs="Times New Roman"/>
          <w:i/>
          <w:color w:val="191919" w:themeColor="background1" w:themeShade="1A"/>
          <w:sz w:val="28"/>
          <w:szCs w:val="28"/>
          <w:lang w:val="en-US"/>
        </w:rPr>
      </w:pPr>
    </w:p>
    <w:p>
      <w:pPr>
        <w:spacing w:after="0" w:line="240" w:lineRule="auto"/>
        <w:jc w:val="center"/>
        <w:rPr>
          <w:rFonts w:ascii="Times New Roman" w:hAnsi="Times New Roman" w:cs="Times New Roman"/>
          <w:i/>
          <w:color w:val="191919" w:themeColor="background1" w:themeShade="1A"/>
          <w:sz w:val="28"/>
          <w:szCs w:val="28"/>
          <w:lang w:val="en-US"/>
        </w:rPr>
      </w:pPr>
    </w:p>
    <w:p>
      <w:pPr>
        <w:spacing w:after="0" w:line="240" w:lineRule="auto"/>
        <w:jc w:val="center"/>
        <w:rPr>
          <w:rFonts w:ascii="Times New Roman" w:hAnsi="Times New Roman" w:cs="Times New Roman"/>
          <w:i/>
          <w:color w:val="191919" w:themeColor="background1" w:themeShade="1A"/>
          <w:sz w:val="28"/>
          <w:szCs w:val="28"/>
          <w:lang w:val="en-US"/>
        </w:rPr>
      </w:pPr>
    </w:p>
    <w:p>
      <w:pPr>
        <w:spacing w:after="0" w:line="240" w:lineRule="auto"/>
        <w:jc w:val="center"/>
        <w:rPr>
          <w:rFonts w:ascii="Times New Roman" w:hAnsi="Times New Roman" w:cs="Times New Roman"/>
          <w:i/>
          <w:color w:val="191919" w:themeColor="background1" w:themeShade="1A"/>
          <w:sz w:val="28"/>
          <w:szCs w:val="28"/>
          <w:lang w:val="en-US"/>
        </w:rPr>
      </w:pPr>
    </w:p>
    <w:p>
      <w:pPr>
        <w:spacing w:after="0" w:line="240" w:lineRule="auto"/>
        <w:jc w:val="center"/>
        <w:rPr>
          <w:rFonts w:ascii="Times New Roman" w:hAnsi="Times New Roman" w:cs="Times New Roman"/>
          <w:i/>
          <w:color w:val="191919" w:themeColor="background1" w:themeShade="1A"/>
          <w:sz w:val="28"/>
          <w:szCs w:val="28"/>
          <w:lang w:val="en-US"/>
        </w:rPr>
      </w:pPr>
    </w:p>
    <w:p>
      <w:pPr>
        <w:spacing w:after="0" w:line="240" w:lineRule="auto"/>
        <w:jc w:val="center"/>
        <w:rPr>
          <w:rFonts w:ascii="Times New Roman" w:hAnsi="Times New Roman" w:cs="Times New Roman"/>
          <w:i/>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Edition of M. Auezov South Kazakhstan State University </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 </w:t>
      </w: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 xml:space="preserve">M. Auezov South Kazakhstan State University Publishing center </w:t>
      </w:r>
    </w:p>
    <w:p>
      <w:pPr>
        <w:spacing w:after="0" w:line="240" w:lineRule="auto"/>
        <w:jc w:val="both"/>
        <w:rPr>
          <w:rFonts w:ascii="Times New Roman" w:hAnsi="Times New Roman" w:cs="Times New Roman"/>
          <w:color w:val="191919" w:themeColor="background1" w:themeShade="1A"/>
          <w:sz w:val="28"/>
          <w:szCs w:val="28"/>
          <w:lang w:val="en-US"/>
        </w:rPr>
      </w:pPr>
      <w:r>
        <w:rPr>
          <w:rFonts w:ascii="Times New Roman" w:hAnsi="Times New Roman" w:cs="Times New Roman"/>
          <w:color w:val="191919" w:themeColor="background1" w:themeShade="1A"/>
          <w:sz w:val="28"/>
          <w:szCs w:val="28"/>
          <w:lang w:val="en-US"/>
        </w:rPr>
        <w:t>Shymkent, Tauke khan Avenue, 5</w:t>
      </w:r>
    </w:p>
    <w:p>
      <w:pPr>
        <w:spacing w:after="0" w:line="240" w:lineRule="auto"/>
        <w:jc w:val="both"/>
        <w:rPr>
          <w:rFonts w:ascii="Times New Roman" w:hAnsi="Times New Roman" w:eastAsia="Times New Roman" w:cs="Times New Roman"/>
          <w:color w:val="191919" w:themeColor="background1" w:themeShade="1A"/>
          <w:sz w:val="28"/>
          <w:szCs w:val="28"/>
          <w:lang w:val="en-US" w:eastAsia="ru-RU"/>
        </w:rPr>
      </w:pPr>
      <w:r>
        <w:rPr>
          <w:rFonts w:ascii="Times New Roman" w:hAnsi="Times New Roman" w:cs="Times New Roman"/>
          <w:color w:val="191919" w:themeColor="background1" w:themeShade="1A"/>
          <w:sz w:val="28"/>
          <w:szCs w:val="28"/>
          <w:lang w:val="en-US"/>
        </w:rPr>
        <w:t xml:space="preserve"> </w:t>
      </w: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p>
      <w:pPr>
        <w:shd w:val="clear" w:color="auto" w:fill="FFFFFF"/>
        <w:spacing w:after="0" w:line="240" w:lineRule="auto"/>
        <w:jc w:val="both"/>
        <w:rPr>
          <w:rFonts w:ascii="Times New Roman" w:hAnsi="Times New Roman" w:eastAsia="Times New Roman" w:cs="Times New Roman"/>
          <w:color w:val="191919" w:themeColor="background1" w:themeShade="1A"/>
          <w:sz w:val="28"/>
          <w:szCs w:val="28"/>
          <w:lang w:val="en-US" w:eastAsia="ru-RU"/>
        </w:rPr>
      </w:pPr>
    </w:p>
    <w:sectPr>
      <w:footerReference r:id="rId3" w:type="default"/>
      <w:pgSz w:w="11906" w:h="16838"/>
      <w:pgMar w:top="1134" w:right="850" w:bottom="1134" w:left="1701" w:header="708" w:footer="708"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Calibri">
    <w:panose1 w:val="020F0502020204030204"/>
    <w:charset w:val="CC"/>
    <w:family w:val="swiss"/>
    <w:pitch w:val="default"/>
    <w:sig w:usb0="E10002FF" w:usb1="4000ACFF" w:usb2="00000009" w:usb3="00000000" w:csb0="2000019F" w:csb1="00000000"/>
  </w:font>
  <w:font w:name="Times New Roman CYR">
    <w:altName w:val="Times New Roman"/>
    <w:panose1 w:val="02020603050405020304"/>
    <w:charset w:val="CC"/>
    <w:family w:val="roman"/>
    <w:pitch w:val="default"/>
    <w:sig w:usb0="00000000" w:usb1="00000000" w:usb2="00000009" w:usb3="00000000" w:csb0="000001FF" w:csb1="00000000"/>
  </w:font>
  <w:font w:name="Calibri Light">
    <w:altName w:val="Calibri"/>
    <w:panose1 w:val="00000000000000000000"/>
    <w:charset w:val="CC"/>
    <w:family w:val="swiss"/>
    <w:pitch w:val="default"/>
    <w:sig w:usb0="00000000" w:usb1="00000000" w:usb2="00000000" w:usb3="00000000" w:csb0="0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SymbolMT">
    <w:altName w:val="Angsana New"/>
    <w:panose1 w:val="00000000000000000000"/>
    <w:charset w:val="88"/>
    <w:family w:val="auto"/>
    <w:pitch w:val="default"/>
    <w:sig w:usb0="00000000" w:usb1="00000000" w:usb2="00000010" w:usb3="00000000" w:csb0="00100000" w:csb1="00000000"/>
  </w:font>
  <w:font w:name="Calibri Light">
    <w:altName w:val="Calibr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888754"/>
    </w:sdtPr>
    <w:sdtContent>
      <w:p>
        <w:pPr>
          <w:pStyle w:val="9"/>
          <w:jc w:val="cente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112</w:t>
        </w:r>
        <w:r>
          <w:rPr>
            <w:rFonts w:ascii="Times New Roman" w:hAnsi="Times New Roman" w:cs="Times New Roman"/>
            <w:sz w:val="24"/>
            <w:szCs w:val="24"/>
          </w:rP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0975"/>
    <w:multiLevelType w:val="multilevel"/>
    <w:tmpl w:val="016B097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18A39D5"/>
    <w:multiLevelType w:val="multilevel"/>
    <w:tmpl w:val="018A39D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5F7062C"/>
    <w:multiLevelType w:val="multilevel"/>
    <w:tmpl w:val="05F7062C"/>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07656D68"/>
    <w:multiLevelType w:val="multilevel"/>
    <w:tmpl w:val="07656D6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077B1A27"/>
    <w:multiLevelType w:val="multilevel"/>
    <w:tmpl w:val="077B1A2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0D1211B2"/>
    <w:multiLevelType w:val="multilevel"/>
    <w:tmpl w:val="0D1211B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0D3E4265"/>
    <w:multiLevelType w:val="multilevel"/>
    <w:tmpl w:val="0D3E426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0E464045"/>
    <w:multiLevelType w:val="multilevel"/>
    <w:tmpl w:val="0E46404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68B06FC"/>
    <w:multiLevelType w:val="multilevel"/>
    <w:tmpl w:val="168B06FC"/>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9">
    <w:nsid w:val="16B421D2"/>
    <w:multiLevelType w:val="multilevel"/>
    <w:tmpl w:val="16B421D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6F97555"/>
    <w:multiLevelType w:val="multilevel"/>
    <w:tmpl w:val="16F975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72A4FCE"/>
    <w:multiLevelType w:val="multilevel"/>
    <w:tmpl w:val="172A4FC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19F32A6F"/>
    <w:multiLevelType w:val="multilevel"/>
    <w:tmpl w:val="19F32A6F"/>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1AF71AA7"/>
    <w:multiLevelType w:val="multilevel"/>
    <w:tmpl w:val="1AF71AA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222C2F24"/>
    <w:multiLevelType w:val="multilevel"/>
    <w:tmpl w:val="222C2F2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5">
    <w:nsid w:val="256145E5"/>
    <w:multiLevelType w:val="multilevel"/>
    <w:tmpl w:val="256145E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25E61E25"/>
    <w:multiLevelType w:val="multilevel"/>
    <w:tmpl w:val="25E61E2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2796621C"/>
    <w:multiLevelType w:val="multilevel"/>
    <w:tmpl w:val="2796621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8">
    <w:nsid w:val="2841714F"/>
    <w:multiLevelType w:val="multilevel"/>
    <w:tmpl w:val="2841714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9">
    <w:nsid w:val="2B5B6E7E"/>
    <w:multiLevelType w:val="multilevel"/>
    <w:tmpl w:val="2B5B6E7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2D607279"/>
    <w:multiLevelType w:val="multilevel"/>
    <w:tmpl w:val="2D60727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2FDC4C1D"/>
    <w:multiLevelType w:val="multilevel"/>
    <w:tmpl w:val="2FDC4C1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335A485C"/>
    <w:multiLevelType w:val="multilevel"/>
    <w:tmpl w:val="335A485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33B27C65"/>
    <w:multiLevelType w:val="multilevel"/>
    <w:tmpl w:val="33B27C65"/>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4">
    <w:nsid w:val="34155798"/>
    <w:multiLevelType w:val="multilevel"/>
    <w:tmpl w:val="3415579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5">
    <w:nsid w:val="37B961A6"/>
    <w:multiLevelType w:val="multilevel"/>
    <w:tmpl w:val="37B961A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6">
    <w:nsid w:val="37BA0CBE"/>
    <w:multiLevelType w:val="multilevel"/>
    <w:tmpl w:val="37BA0CB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7">
    <w:nsid w:val="3C2050B9"/>
    <w:multiLevelType w:val="multilevel"/>
    <w:tmpl w:val="3C2050B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8">
    <w:nsid w:val="401E795F"/>
    <w:multiLevelType w:val="multilevel"/>
    <w:tmpl w:val="401E795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9">
    <w:nsid w:val="41690F88"/>
    <w:multiLevelType w:val="multilevel"/>
    <w:tmpl w:val="41690F8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0">
    <w:nsid w:val="41E06245"/>
    <w:multiLevelType w:val="multilevel"/>
    <w:tmpl w:val="41E06245"/>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1">
    <w:nsid w:val="420A4C97"/>
    <w:multiLevelType w:val="multilevel"/>
    <w:tmpl w:val="420A4C9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2">
    <w:nsid w:val="479E489D"/>
    <w:multiLevelType w:val="multilevel"/>
    <w:tmpl w:val="479E489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3">
    <w:nsid w:val="4F4C559F"/>
    <w:multiLevelType w:val="multilevel"/>
    <w:tmpl w:val="4F4C559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4">
    <w:nsid w:val="4F5B284C"/>
    <w:multiLevelType w:val="multilevel"/>
    <w:tmpl w:val="4F5B284C"/>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5">
    <w:nsid w:val="5175378E"/>
    <w:multiLevelType w:val="multilevel"/>
    <w:tmpl w:val="5175378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6">
    <w:nsid w:val="5AE4214C"/>
    <w:multiLevelType w:val="multilevel"/>
    <w:tmpl w:val="5AE4214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7">
    <w:nsid w:val="61065C9D"/>
    <w:multiLevelType w:val="multilevel"/>
    <w:tmpl w:val="61065C9D"/>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624539DD"/>
    <w:multiLevelType w:val="multilevel"/>
    <w:tmpl w:val="624539D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9">
    <w:nsid w:val="62547011"/>
    <w:multiLevelType w:val="multilevel"/>
    <w:tmpl w:val="625470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637716B7"/>
    <w:multiLevelType w:val="multilevel"/>
    <w:tmpl w:val="637716B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68234DD8"/>
    <w:multiLevelType w:val="multilevel"/>
    <w:tmpl w:val="68234DD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2">
    <w:nsid w:val="699003B7"/>
    <w:multiLevelType w:val="multilevel"/>
    <w:tmpl w:val="699003B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6A7E43FC"/>
    <w:multiLevelType w:val="multilevel"/>
    <w:tmpl w:val="6A7E43F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4">
    <w:nsid w:val="72D23665"/>
    <w:multiLevelType w:val="multilevel"/>
    <w:tmpl w:val="72D2366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5">
    <w:nsid w:val="733B7B24"/>
    <w:multiLevelType w:val="multilevel"/>
    <w:tmpl w:val="733B7B2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6">
    <w:nsid w:val="747A3762"/>
    <w:multiLevelType w:val="multilevel"/>
    <w:tmpl w:val="747A3762"/>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47">
    <w:nsid w:val="79C07E61"/>
    <w:multiLevelType w:val="multilevel"/>
    <w:tmpl w:val="79C07E6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8">
    <w:nsid w:val="7D711A96"/>
    <w:multiLevelType w:val="multilevel"/>
    <w:tmpl w:val="7D711A9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9"/>
  </w:num>
  <w:num w:numId="2">
    <w:abstractNumId w:val="37"/>
  </w:num>
  <w:num w:numId="3">
    <w:abstractNumId w:val="8"/>
  </w:num>
  <w:num w:numId="4">
    <w:abstractNumId w:val="10"/>
  </w:num>
  <w:num w:numId="5">
    <w:abstractNumId w:val="29"/>
  </w:num>
  <w:num w:numId="6">
    <w:abstractNumId w:val="17"/>
  </w:num>
  <w:num w:numId="7">
    <w:abstractNumId w:val="3"/>
  </w:num>
  <w:num w:numId="8">
    <w:abstractNumId w:val="27"/>
  </w:num>
  <w:num w:numId="9">
    <w:abstractNumId w:val="14"/>
  </w:num>
  <w:num w:numId="10">
    <w:abstractNumId w:val="35"/>
  </w:num>
  <w:num w:numId="11">
    <w:abstractNumId w:val="5"/>
  </w:num>
  <w:num w:numId="12">
    <w:abstractNumId w:val="12"/>
  </w:num>
  <w:num w:numId="13">
    <w:abstractNumId w:val="22"/>
  </w:num>
  <w:num w:numId="14">
    <w:abstractNumId w:val="6"/>
  </w:num>
  <w:num w:numId="15">
    <w:abstractNumId w:val="45"/>
  </w:num>
  <w:num w:numId="16">
    <w:abstractNumId w:val="28"/>
  </w:num>
  <w:num w:numId="17">
    <w:abstractNumId w:val="33"/>
  </w:num>
  <w:num w:numId="18">
    <w:abstractNumId w:val="31"/>
  </w:num>
  <w:num w:numId="19">
    <w:abstractNumId w:val="20"/>
  </w:num>
  <w:num w:numId="20">
    <w:abstractNumId w:val="13"/>
  </w:num>
  <w:num w:numId="21">
    <w:abstractNumId w:val="4"/>
  </w:num>
  <w:num w:numId="22">
    <w:abstractNumId w:val="42"/>
  </w:num>
  <w:num w:numId="23">
    <w:abstractNumId w:val="47"/>
  </w:num>
  <w:num w:numId="24">
    <w:abstractNumId w:val="26"/>
  </w:num>
  <w:num w:numId="25">
    <w:abstractNumId w:val="41"/>
  </w:num>
  <w:num w:numId="26">
    <w:abstractNumId w:val="0"/>
  </w:num>
  <w:num w:numId="27">
    <w:abstractNumId w:val="2"/>
  </w:num>
  <w:num w:numId="28">
    <w:abstractNumId w:val="24"/>
  </w:num>
  <w:num w:numId="29">
    <w:abstractNumId w:val="44"/>
  </w:num>
  <w:num w:numId="30">
    <w:abstractNumId w:val="23"/>
  </w:num>
  <w:num w:numId="31">
    <w:abstractNumId w:val="32"/>
  </w:num>
  <w:num w:numId="32">
    <w:abstractNumId w:val="43"/>
  </w:num>
  <w:num w:numId="33">
    <w:abstractNumId w:val="46"/>
  </w:num>
  <w:num w:numId="34">
    <w:abstractNumId w:val="18"/>
  </w:num>
  <w:num w:numId="35">
    <w:abstractNumId w:val="11"/>
  </w:num>
  <w:num w:numId="36">
    <w:abstractNumId w:val="9"/>
  </w:num>
  <w:num w:numId="37">
    <w:abstractNumId w:val="15"/>
  </w:num>
  <w:num w:numId="38">
    <w:abstractNumId w:val="48"/>
  </w:num>
  <w:num w:numId="39">
    <w:abstractNumId w:val="40"/>
  </w:num>
  <w:num w:numId="40">
    <w:abstractNumId w:val="38"/>
  </w:num>
  <w:num w:numId="41">
    <w:abstractNumId w:val="36"/>
  </w:num>
  <w:num w:numId="42">
    <w:abstractNumId w:val="1"/>
  </w:num>
  <w:num w:numId="43">
    <w:abstractNumId w:val="16"/>
  </w:num>
  <w:num w:numId="44">
    <w:abstractNumId w:val="25"/>
  </w:num>
  <w:num w:numId="45">
    <w:abstractNumId w:val="19"/>
  </w:num>
  <w:num w:numId="46">
    <w:abstractNumId w:val="30"/>
  </w:num>
  <w:num w:numId="47">
    <w:abstractNumId w:val="34"/>
  </w:num>
  <w:num w:numId="48">
    <w:abstractNumId w:val="21"/>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08"/>
  <w:characterSpacingControl w:val="doNotCompress"/>
  <w:compat>
    <w:doNotExpandShiftReturn/>
    <w:doNotUseIndentAsNumberingTabStop/>
    <w:useAltKinsokuLineBreakRules/>
    <w:compatSetting w:name="compatibilityMode" w:uri="http://schemas.microsoft.com/office/word" w:val="12"/>
  </w:compat>
  <w:rsids>
    <w:rsidRoot w:val="00A32C5F"/>
    <w:rsid w:val="00004B6B"/>
    <w:rsid w:val="00017A0D"/>
    <w:rsid w:val="000429D7"/>
    <w:rsid w:val="000478CB"/>
    <w:rsid w:val="00094EAB"/>
    <w:rsid w:val="000A069D"/>
    <w:rsid w:val="000A7858"/>
    <w:rsid w:val="000B14BA"/>
    <w:rsid w:val="000C2B27"/>
    <w:rsid w:val="000C32EC"/>
    <w:rsid w:val="000C4E1D"/>
    <w:rsid w:val="000D0460"/>
    <w:rsid w:val="000D5BE9"/>
    <w:rsid w:val="000D7119"/>
    <w:rsid w:val="000D7B0B"/>
    <w:rsid w:val="000E6068"/>
    <w:rsid w:val="000E79C1"/>
    <w:rsid w:val="000F6E20"/>
    <w:rsid w:val="00123B88"/>
    <w:rsid w:val="00130A5F"/>
    <w:rsid w:val="00135C7E"/>
    <w:rsid w:val="00141239"/>
    <w:rsid w:val="00165869"/>
    <w:rsid w:val="001748D9"/>
    <w:rsid w:val="00195A0B"/>
    <w:rsid w:val="001B5ACE"/>
    <w:rsid w:val="001D7AA9"/>
    <w:rsid w:val="001F645A"/>
    <w:rsid w:val="0020649B"/>
    <w:rsid w:val="002303EC"/>
    <w:rsid w:val="00235FC3"/>
    <w:rsid w:val="00271B51"/>
    <w:rsid w:val="00283F32"/>
    <w:rsid w:val="00284527"/>
    <w:rsid w:val="00295B8D"/>
    <w:rsid w:val="002C601D"/>
    <w:rsid w:val="002F3A9C"/>
    <w:rsid w:val="003018A3"/>
    <w:rsid w:val="003049EC"/>
    <w:rsid w:val="003110B5"/>
    <w:rsid w:val="00335800"/>
    <w:rsid w:val="00336403"/>
    <w:rsid w:val="00337717"/>
    <w:rsid w:val="00343B02"/>
    <w:rsid w:val="00353B46"/>
    <w:rsid w:val="003644DB"/>
    <w:rsid w:val="0036716B"/>
    <w:rsid w:val="0036734B"/>
    <w:rsid w:val="0036738B"/>
    <w:rsid w:val="00370B06"/>
    <w:rsid w:val="003849E7"/>
    <w:rsid w:val="00397F43"/>
    <w:rsid w:val="003B4BC9"/>
    <w:rsid w:val="003B71D8"/>
    <w:rsid w:val="00400960"/>
    <w:rsid w:val="004175A0"/>
    <w:rsid w:val="00424CDA"/>
    <w:rsid w:val="00424E5D"/>
    <w:rsid w:val="00431E3B"/>
    <w:rsid w:val="00443628"/>
    <w:rsid w:val="00444D70"/>
    <w:rsid w:val="00465264"/>
    <w:rsid w:val="004A35CF"/>
    <w:rsid w:val="004A48F9"/>
    <w:rsid w:val="004A7C98"/>
    <w:rsid w:val="004B6ED8"/>
    <w:rsid w:val="004C60D2"/>
    <w:rsid w:val="004E77F8"/>
    <w:rsid w:val="00501662"/>
    <w:rsid w:val="00506640"/>
    <w:rsid w:val="00510E06"/>
    <w:rsid w:val="0053668B"/>
    <w:rsid w:val="005442A4"/>
    <w:rsid w:val="0055022B"/>
    <w:rsid w:val="0055023D"/>
    <w:rsid w:val="00551AC5"/>
    <w:rsid w:val="005559A0"/>
    <w:rsid w:val="00556EEA"/>
    <w:rsid w:val="00563AB5"/>
    <w:rsid w:val="00582FA8"/>
    <w:rsid w:val="005834A6"/>
    <w:rsid w:val="00587E0F"/>
    <w:rsid w:val="005A3FD8"/>
    <w:rsid w:val="005B6B81"/>
    <w:rsid w:val="005E48E2"/>
    <w:rsid w:val="005F20C3"/>
    <w:rsid w:val="005F2762"/>
    <w:rsid w:val="006010B4"/>
    <w:rsid w:val="00632CBD"/>
    <w:rsid w:val="00640574"/>
    <w:rsid w:val="0064509B"/>
    <w:rsid w:val="006478B6"/>
    <w:rsid w:val="0067328A"/>
    <w:rsid w:val="00693B2D"/>
    <w:rsid w:val="006A5C79"/>
    <w:rsid w:val="006C2628"/>
    <w:rsid w:val="00707941"/>
    <w:rsid w:val="007428DF"/>
    <w:rsid w:val="00750167"/>
    <w:rsid w:val="00752BB6"/>
    <w:rsid w:val="00757E35"/>
    <w:rsid w:val="00761659"/>
    <w:rsid w:val="00766548"/>
    <w:rsid w:val="00770B8A"/>
    <w:rsid w:val="00772D73"/>
    <w:rsid w:val="00774545"/>
    <w:rsid w:val="007767FB"/>
    <w:rsid w:val="00796005"/>
    <w:rsid w:val="007B0CBC"/>
    <w:rsid w:val="007D6096"/>
    <w:rsid w:val="007E4C37"/>
    <w:rsid w:val="007E689D"/>
    <w:rsid w:val="008000E5"/>
    <w:rsid w:val="00853F6B"/>
    <w:rsid w:val="008635E7"/>
    <w:rsid w:val="00866DC6"/>
    <w:rsid w:val="008764DE"/>
    <w:rsid w:val="008969D2"/>
    <w:rsid w:val="008A36AB"/>
    <w:rsid w:val="008C7FA9"/>
    <w:rsid w:val="008F33E0"/>
    <w:rsid w:val="00904626"/>
    <w:rsid w:val="00912FEC"/>
    <w:rsid w:val="00914B4D"/>
    <w:rsid w:val="00971CE7"/>
    <w:rsid w:val="00971FAB"/>
    <w:rsid w:val="00974D71"/>
    <w:rsid w:val="009C75BD"/>
    <w:rsid w:val="009F078F"/>
    <w:rsid w:val="00A01ED7"/>
    <w:rsid w:val="00A05D78"/>
    <w:rsid w:val="00A05E83"/>
    <w:rsid w:val="00A23C9F"/>
    <w:rsid w:val="00A32C5F"/>
    <w:rsid w:val="00A32E06"/>
    <w:rsid w:val="00A432AA"/>
    <w:rsid w:val="00A52A5B"/>
    <w:rsid w:val="00A66CEE"/>
    <w:rsid w:val="00A94903"/>
    <w:rsid w:val="00A97753"/>
    <w:rsid w:val="00AA60A8"/>
    <w:rsid w:val="00AB0AF2"/>
    <w:rsid w:val="00AB1F30"/>
    <w:rsid w:val="00AC4332"/>
    <w:rsid w:val="00AD2EC4"/>
    <w:rsid w:val="00AD355C"/>
    <w:rsid w:val="00AE40EE"/>
    <w:rsid w:val="00AE4EBC"/>
    <w:rsid w:val="00AE7D22"/>
    <w:rsid w:val="00B067BC"/>
    <w:rsid w:val="00B2764E"/>
    <w:rsid w:val="00B3097D"/>
    <w:rsid w:val="00B80451"/>
    <w:rsid w:val="00B85B3A"/>
    <w:rsid w:val="00B8623B"/>
    <w:rsid w:val="00B97639"/>
    <w:rsid w:val="00BA44B1"/>
    <w:rsid w:val="00BC0747"/>
    <w:rsid w:val="00BD1071"/>
    <w:rsid w:val="00BE39FE"/>
    <w:rsid w:val="00BE77C6"/>
    <w:rsid w:val="00C130EC"/>
    <w:rsid w:val="00C23B62"/>
    <w:rsid w:val="00C25CE0"/>
    <w:rsid w:val="00C2705D"/>
    <w:rsid w:val="00C3710C"/>
    <w:rsid w:val="00C40C45"/>
    <w:rsid w:val="00C73966"/>
    <w:rsid w:val="00CB58FE"/>
    <w:rsid w:val="00CC3458"/>
    <w:rsid w:val="00CC3F59"/>
    <w:rsid w:val="00CD7874"/>
    <w:rsid w:val="00CE19AC"/>
    <w:rsid w:val="00CF18DF"/>
    <w:rsid w:val="00D02E66"/>
    <w:rsid w:val="00D26943"/>
    <w:rsid w:val="00D45641"/>
    <w:rsid w:val="00D622B8"/>
    <w:rsid w:val="00D7734B"/>
    <w:rsid w:val="00D90E99"/>
    <w:rsid w:val="00DA3281"/>
    <w:rsid w:val="00DB493B"/>
    <w:rsid w:val="00DB783D"/>
    <w:rsid w:val="00DE1900"/>
    <w:rsid w:val="00DE6ACB"/>
    <w:rsid w:val="00DF27F4"/>
    <w:rsid w:val="00E10F02"/>
    <w:rsid w:val="00E1139B"/>
    <w:rsid w:val="00E120F9"/>
    <w:rsid w:val="00E1772E"/>
    <w:rsid w:val="00E17C5B"/>
    <w:rsid w:val="00E258F5"/>
    <w:rsid w:val="00E3206D"/>
    <w:rsid w:val="00E435D7"/>
    <w:rsid w:val="00E55AC2"/>
    <w:rsid w:val="00E57817"/>
    <w:rsid w:val="00E776DE"/>
    <w:rsid w:val="00E82AB4"/>
    <w:rsid w:val="00E96C90"/>
    <w:rsid w:val="00EA654E"/>
    <w:rsid w:val="00EA7354"/>
    <w:rsid w:val="00EB1317"/>
    <w:rsid w:val="00EE29FD"/>
    <w:rsid w:val="00EF72D0"/>
    <w:rsid w:val="00F23809"/>
    <w:rsid w:val="00F25217"/>
    <w:rsid w:val="00F25D2B"/>
    <w:rsid w:val="00F318A3"/>
    <w:rsid w:val="00F51125"/>
    <w:rsid w:val="00F556CA"/>
    <w:rsid w:val="00F57A31"/>
    <w:rsid w:val="00F673C8"/>
    <w:rsid w:val="00F80694"/>
    <w:rsid w:val="00F95265"/>
    <w:rsid w:val="00F96A9C"/>
    <w:rsid w:val="00F97D4A"/>
    <w:rsid w:val="00FB1CB3"/>
    <w:rsid w:val="00FC0183"/>
    <w:rsid w:val="00FD7EE3"/>
    <w:rsid w:val="03EF4FFC"/>
    <w:rsid w:val="198A17C5"/>
    <w:rsid w:val="213A5F3D"/>
    <w:rsid w:val="529E7330"/>
    <w:rsid w:val="58AE3064"/>
    <w:rsid w:val="73FA25F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Arial"/>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0"/>
    <w:qFormat/>
    <w:uiPriority w:val="99"/>
    <w:pPr>
      <w:widowControl w:val="0"/>
      <w:autoSpaceDE w:val="0"/>
      <w:autoSpaceDN w:val="0"/>
      <w:adjustRightInd w:val="0"/>
      <w:spacing w:after="0" w:line="240" w:lineRule="auto"/>
      <w:outlineLvl w:val="0"/>
    </w:pPr>
    <w:rPr>
      <w:rFonts w:ascii="Times New Roman CYR" w:hAnsi="Times New Roman CYR" w:cs="Times New Roman CYR" w:eastAsiaTheme="minorEastAsia"/>
      <w:sz w:val="24"/>
      <w:szCs w:val="24"/>
      <w:lang w:eastAsia="ru-RU"/>
    </w:rPr>
  </w:style>
  <w:style w:type="paragraph" w:styleId="3">
    <w:name w:val="heading 2"/>
    <w:basedOn w:val="1"/>
    <w:next w:val="1"/>
    <w:link w:val="23"/>
    <w:unhideWhenUsed/>
    <w:qFormat/>
    <w:uiPriority w:val="9"/>
    <w:pPr>
      <w:keepNext/>
      <w:keepLines/>
      <w:spacing w:before="200" w:after="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1"/>
    <w:qFormat/>
    <w:uiPriority w:val="99"/>
    <w:pPr>
      <w:widowControl w:val="0"/>
      <w:autoSpaceDE w:val="0"/>
      <w:autoSpaceDN w:val="0"/>
      <w:adjustRightInd w:val="0"/>
      <w:spacing w:after="0" w:line="240" w:lineRule="auto"/>
      <w:outlineLvl w:val="2"/>
    </w:pPr>
    <w:rPr>
      <w:rFonts w:ascii="Times New Roman CYR" w:hAnsi="Times New Roman CYR" w:cs="Times New Roman CYR" w:eastAsiaTheme="minorEastAsia"/>
      <w:sz w:val="24"/>
      <w:szCs w:val="24"/>
      <w:lang w:eastAsia="ru-RU"/>
    </w:rPr>
  </w:style>
  <w:style w:type="paragraph" w:styleId="5">
    <w:name w:val="heading 4"/>
    <w:basedOn w:val="1"/>
    <w:next w:val="1"/>
    <w:link w:val="22"/>
    <w:qFormat/>
    <w:uiPriority w:val="99"/>
    <w:pPr>
      <w:widowControl w:val="0"/>
      <w:autoSpaceDE w:val="0"/>
      <w:autoSpaceDN w:val="0"/>
      <w:adjustRightInd w:val="0"/>
      <w:spacing w:after="0" w:line="240" w:lineRule="auto"/>
      <w:outlineLvl w:val="3"/>
    </w:pPr>
    <w:rPr>
      <w:rFonts w:ascii="Times New Roman CYR" w:hAnsi="Times New Roman CYR" w:cs="Times New Roman CYR" w:eastAsiaTheme="minorEastAsia"/>
      <w:sz w:val="24"/>
      <w:szCs w:val="24"/>
      <w:lang w:eastAsia="ru-RU"/>
    </w:rPr>
  </w:style>
  <w:style w:type="character" w:default="1" w:styleId="11">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7"/>
    <w:semiHidden/>
    <w:unhideWhenUsed/>
    <w:qFormat/>
    <w:uiPriority w:val="99"/>
    <w:pPr>
      <w:spacing w:after="0" w:line="240" w:lineRule="auto"/>
    </w:pPr>
    <w:rPr>
      <w:rFonts w:ascii="Tahoma" w:hAnsi="Tahoma" w:cs="Tahoma"/>
      <w:sz w:val="16"/>
      <w:szCs w:val="16"/>
    </w:rPr>
  </w:style>
  <w:style w:type="paragraph" w:styleId="7">
    <w:name w:val="header"/>
    <w:basedOn w:val="1"/>
    <w:link w:val="42"/>
    <w:semiHidden/>
    <w:unhideWhenUsed/>
    <w:qFormat/>
    <w:uiPriority w:val="99"/>
    <w:pPr>
      <w:tabs>
        <w:tab w:val="center" w:pos="4677"/>
        <w:tab w:val="right" w:pos="9355"/>
      </w:tabs>
      <w:spacing w:after="0" w:line="240" w:lineRule="auto"/>
    </w:pPr>
  </w:style>
  <w:style w:type="paragraph" w:styleId="8">
    <w:name w:val="Body Text Indent"/>
    <w:basedOn w:val="1"/>
    <w:link w:val="41"/>
    <w:qFormat/>
    <w:uiPriority w:val="0"/>
    <w:pPr>
      <w:suppressAutoHyphens/>
      <w:spacing w:after="0" w:line="240" w:lineRule="auto"/>
      <w:ind w:firstLine="680"/>
      <w:jc w:val="both"/>
    </w:pPr>
    <w:rPr>
      <w:rFonts w:ascii="Times New Roman" w:hAnsi="Times New Roman" w:eastAsia="Times New Roman" w:cs="Times New Roman"/>
      <w:sz w:val="24"/>
      <w:szCs w:val="20"/>
      <w:lang w:eastAsia="ar-SA"/>
    </w:rPr>
  </w:style>
  <w:style w:type="paragraph" w:styleId="9">
    <w:name w:val="footer"/>
    <w:basedOn w:val="1"/>
    <w:link w:val="43"/>
    <w:unhideWhenUsed/>
    <w:qFormat/>
    <w:uiPriority w:val="99"/>
    <w:pPr>
      <w:tabs>
        <w:tab w:val="center" w:pos="4677"/>
        <w:tab w:val="right" w:pos="9355"/>
      </w:tabs>
      <w:spacing w:after="0" w:line="240" w:lineRule="auto"/>
    </w:pPr>
  </w:style>
  <w:style w:type="paragraph" w:styleId="10">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2">
    <w:name w:val="Emphasis"/>
    <w:qFormat/>
    <w:uiPriority w:val="20"/>
    <w:rPr>
      <w:i/>
      <w:iCs/>
    </w:rPr>
  </w:style>
  <w:style w:type="character" w:styleId="13">
    <w:name w:val="Hyperlink"/>
    <w:basedOn w:val="11"/>
    <w:unhideWhenUsed/>
    <w:qFormat/>
    <w:uiPriority w:val="99"/>
    <w:rPr>
      <w:color w:val="0563C1" w:themeColor="hyperlink"/>
      <w:u w:val="single"/>
    </w:rPr>
  </w:style>
  <w:style w:type="character" w:styleId="14">
    <w:name w:val="Strong"/>
    <w:basedOn w:val="11"/>
    <w:qFormat/>
    <w:uiPriority w:val="22"/>
    <w:rPr>
      <w:rFonts w:cs="Times New Roman"/>
      <w:b/>
      <w:bCs/>
    </w:rPr>
  </w:style>
  <w:style w:type="character" w:styleId="15">
    <w:name w:val="HTML Cite"/>
    <w:semiHidden/>
    <w:unhideWhenUsed/>
    <w:qFormat/>
    <w:uiPriority w:val="99"/>
    <w:rPr>
      <w:i/>
      <w:iCs/>
    </w:rPr>
  </w:style>
  <w:style w:type="table" w:styleId="17">
    <w:name w:val="Table Grid"/>
    <w:basedOn w:val="1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8">
    <w:name w:val="List Paragraph"/>
    <w:basedOn w:val="1"/>
    <w:qFormat/>
    <w:uiPriority w:val="34"/>
    <w:pPr>
      <w:ind w:left="720"/>
      <w:contextualSpacing/>
    </w:pPr>
  </w:style>
  <w:style w:type="paragraph" w:customStyle="1" w:styleId="19">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character" w:customStyle="1" w:styleId="20">
    <w:name w:val="Заголовок 1 Знак"/>
    <w:basedOn w:val="11"/>
    <w:link w:val="2"/>
    <w:qFormat/>
    <w:uiPriority w:val="99"/>
    <w:rPr>
      <w:rFonts w:ascii="Times New Roman CYR" w:hAnsi="Times New Roman CYR" w:cs="Times New Roman CYR" w:eastAsiaTheme="minorEastAsia"/>
      <w:sz w:val="24"/>
      <w:szCs w:val="24"/>
      <w:lang w:eastAsia="ru-RU"/>
    </w:rPr>
  </w:style>
  <w:style w:type="character" w:customStyle="1" w:styleId="21">
    <w:name w:val="Заголовок 3 Знак"/>
    <w:basedOn w:val="11"/>
    <w:link w:val="4"/>
    <w:qFormat/>
    <w:uiPriority w:val="99"/>
    <w:rPr>
      <w:rFonts w:ascii="Times New Roman CYR" w:hAnsi="Times New Roman CYR" w:cs="Times New Roman CYR" w:eastAsiaTheme="minorEastAsia"/>
      <w:sz w:val="24"/>
      <w:szCs w:val="24"/>
      <w:lang w:eastAsia="ru-RU"/>
    </w:rPr>
  </w:style>
  <w:style w:type="character" w:customStyle="1" w:styleId="22">
    <w:name w:val="Заголовок 4 Знак"/>
    <w:basedOn w:val="11"/>
    <w:link w:val="5"/>
    <w:qFormat/>
    <w:uiPriority w:val="99"/>
    <w:rPr>
      <w:rFonts w:ascii="Times New Roman CYR" w:hAnsi="Times New Roman CYR" w:cs="Times New Roman CYR" w:eastAsiaTheme="minorEastAsia"/>
      <w:sz w:val="24"/>
      <w:szCs w:val="24"/>
      <w:lang w:eastAsia="ru-RU"/>
    </w:rPr>
  </w:style>
  <w:style w:type="character" w:customStyle="1" w:styleId="23">
    <w:name w:val="Заголовок 2 Знак"/>
    <w:basedOn w:val="11"/>
    <w:link w:val="3"/>
    <w:qFormat/>
    <w:uiPriority w:val="9"/>
    <w:rPr>
      <w:rFonts w:asciiTheme="majorHAnsi" w:hAnsiTheme="majorHAnsi" w:eastAsiaTheme="majorEastAsia" w:cstheme="majorBidi"/>
      <w:b/>
      <w:bCs/>
      <w:color w:val="5B9BD5" w:themeColor="accent1"/>
      <w:sz w:val="26"/>
      <w:szCs w:val="26"/>
    </w:rPr>
  </w:style>
  <w:style w:type="character" w:customStyle="1" w:styleId="24">
    <w:name w:val="nowrap"/>
    <w:basedOn w:val="11"/>
    <w:qFormat/>
    <w:uiPriority w:val="0"/>
  </w:style>
  <w:style w:type="character" w:customStyle="1" w:styleId="25">
    <w:name w:val="reference-text"/>
    <w:basedOn w:val="11"/>
    <w:qFormat/>
    <w:uiPriority w:val="0"/>
  </w:style>
  <w:style w:type="character" w:customStyle="1" w:styleId="26">
    <w:name w:val="reference-accessdate"/>
    <w:basedOn w:val="11"/>
    <w:qFormat/>
    <w:uiPriority w:val="0"/>
  </w:style>
  <w:style w:type="character" w:customStyle="1" w:styleId="27">
    <w:name w:val="Текст выноски Знак"/>
    <w:basedOn w:val="11"/>
    <w:link w:val="6"/>
    <w:semiHidden/>
    <w:qFormat/>
    <w:uiPriority w:val="99"/>
    <w:rPr>
      <w:rFonts w:ascii="Tahoma" w:hAnsi="Tahoma" w:cs="Tahoma"/>
      <w:sz w:val="16"/>
      <w:szCs w:val="16"/>
    </w:rPr>
  </w:style>
  <w:style w:type="paragraph" w:customStyle="1" w:styleId="28">
    <w:name w:val="p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29">
    <w:name w:val="mntl-sc-block-heading__text"/>
    <w:basedOn w:val="11"/>
    <w:qFormat/>
    <w:uiPriority w:val="0"/>
  </w:style>
  <w:style w:type="character" w:customStyle="1" w:styleId="30">
    <w:name w:val="mathml"/>
    <w:basedOn w:val="11"/>
    <w:qFormat/>
    <w:uiPriority w:val="0"/>
  </w:style>
  <w:style w:type="character" w:customStyle="1" w:styleId="31">
    <w:name w:val="short_text"/>
    <w:basedOn w:val="11"/>
    <w:uiPriority w:val="0"/>
  </w:style>
  <w:style w:type="paragraph" w:customStyle="1" w:styleId="32">
    <w:name w:val="text-align-justify"/>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33">
    <w:name w:val="flytitle-and-title__title"/>
    <w:basedOn w:val="11"/>
    <w:qFormat/>
    <w:uiPriority w:val="0"/>
  </w:style>
  <w:style w:type="character" w:customStyle="1" w:styleId="34">
    <w:name w:val="st"/>
    <w:basedOn w:val="11"/>
    <w:qFormat/>
    <w:uiPriority w:val="0"/>
  </w:style>
  <w:style w:type="character" w:customStyle="1" w:styleId="35">
    <w:name w:val="mw-headline"/>
    <w:basedOn w:val="11"/>
    <w:uiPriority w:val="0"/>
  </w:style>
  <w:style w:type="character" w:customStyle="1" w:styleId="36">
    <w:name w:val="t"/>
    <w:basedOn w:val="11"/>
    <w:qFormat/>
    <w:uiPriority w:val="0"/>
  </w:style>
  <w:style w:type="character" w:customStyle="1" w:styleId="37">
    <w:name w:val="tlid-translation"/>
    <w:basedOn w:val="11"/>
    <w:qFormat/>
    <w:uiPriority w:val="0"/>
  </w:style>
  <w:style w:type="paragraph" w:customStyle="1" w:styleId="38">
    <w:name w:val="bodytextfp"/>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39">
    <w:name w:val="bodytext"/>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40">
    <w:name w:val="refentry"/>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41">
    <w:name w:val="Основной текст с отступом Знак"/>
    <w:basedOn w:val="11"/>
    <w:link w:val="8"/>
    <w:qFormat/>
    <w:uiPriority w:val="0"/>
    <w:rPr>
      <w:rFonts w:ascii="Times New Roman" w:hAnsi="Times New Roman" w:eastAsia="Times New Roman" w:cs="Times New Roman"/>
      <w:sz w:val="24"/>
      <w:szCs w:val="20"/>
      <w:lang w:eastAsia="ar-SA"/>
    </w:rPr>
  </w:style>
  <w:style w:type="character" w:customStyle="1" w:styleId="42">
    <w:name w:val="Верхний колонтитул Знак"/>
    <w:basedOn w:val="11"/>
    <w:link w:val="7"/>
    <w:semiHidden/>
    <w:qFormat/>
    <w:uiPriority w:val="99"/>
  </w:style>
  <w:style w:type="character" w:customStyle="1" w:styleId="43">
    <w:name w:val="Нижний колонтитул Знак"/>
    <w:basedOn w:val="11"/>
    <w:link w:val="9"/>
    <w:qFormat/>
    <w:uiPriority w:val="99"/>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hyperlink" Target="https://en.wikipedia.org/wiki/File:&#194;&#180;World_Bank,_icp_2011_gdp_ppp_world_share.png" TargetMode="External"/><Relationship Id="rId6" Type="http://schemas.openxmlformats.org/officeDocument/2006/relationships/image" Target="media/image1.jpeg"/><Relationship Id="rId5" Type="http://schemas.openxmlformats.org/officeDocument/2006/relationships/hyperlink" Target="https://en.wikipedia.org/wiki/File:20_Largest_economies_pie_chart.pdf" TargetMode="External"/><Relationship Id="rId4" Type="http://schemas.openxmlformats.org/officeDocument/2006/relationships/theme" Target="theme/theme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hyperlink" Target="https://ourworldindata.org/wp-content/uploads/2013/12/Global-inequality-in-1800-1975-and-2015.png" TargetMode="Externa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112</Pages>
  <Words>49873</Words>
  <Characters>284278</Characters>
  <Lines>2368</Lines>
  <Paragraphs>666</Paragraphs>
  <TotalTime>458</TotalTime>
  <ScaleCrop>false</ScaleCrop>
  <LinksUpToDate>false</LinksUpToDate>
  <CharactersWithSpaces>333485</CharactersWithSpaces>
  <Application>WPS Office_11.2.0.9150_F1E327BC-269C-435d-A152-05C5408002CA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2018-10-10T17:11:00Z</dcterms:created>
  <dc:creator>Гульнур</dc:creator>
  <cp:lastModifiedBy>admin</cp:lastModifiedBy>
  <cp:lastPrinted>2019-12-22T19:09:00Z</cp:lastPrinted>
  <dcterms:modified xsi:type="dcterms:W3CDTF">2020-02-20T07:10:31Z</dcterms:modified>
  <cp:revision>515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1049-11.2.0.9150</vt:lpwstr>
  </property>
</Properties>
</file>